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Title"/>
      <w:bookmarkEnd w:id="2"/>
      <w:bookmarkStart w:id="3" w:name="_Hlt449016246"/>
      <w:bookmarkEnd w:id="3"/>
      <w:bookmarkStart w:id="4" w:name="_Hlt450066085"/>
      <w:bookmarkEnd w:id="4"/>
      <w:bookmarkStart w:id="5" w:name="_Hlt450039480"/>
      <w:bookmarkEnd w:id="5"/>
      <w:bookmarkStart w:id="6" w:name="DocumentFor"/>
      <w:bookmarkEnd w:id="6"/>
      <w:bookmarkStart w:id="7" w:name="_Hlt450066087"/>
      <w:bookmarkEnd w:id="7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  <w:highlight w:val="none"/>
        </w:rPr>
        <w:t>R4-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>2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212596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 15-26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sz w:val="24"/>
          <w:szCs w:val="24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highlight w:val="none"/>
          <w:lang w:eastAsia="zh-CN"/>
        </w:rPr>
        <w:t xml:space="preserve"> Corporation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sz w:val="24"/>
          <w:szCs w:val="24"/>
          <w:highlight w:val="none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/>
          <w:b w:val="0"/>
          <w:bCs/>
          <w:color w:val="auto"/>
          <w:sz w:val="24"/>
          <w:szCs w:val="24"/>
          <w:highlight w:val="none"/>
          <w:lang w:val="en-US" w:eastAsia="zh-CN"/>
        </w:rPr>
        <w:t>Discussion on supplement of the requirement of NB-IoT in EMC specification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sz w:val="24"/>
          <w:szCs w:val="24"/>
          <w:highlight w:val="none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highlight w:val="none"/>
          <w:lang w:val="en-US" w:eastAsia="zh-CN"/>
        </w:rPr>
        <w:t>4.1.4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highlight w:val="none"/>
          <w:lang w:eastAsia="zh-CN"/>
        </w:rPr>
      </w:pPr>
      <w:r>
        <w:rPr>
          <w:color w:val="auto"/>
          <w:sz w:val="24"/>
          <w:szCs w:val="24"/>
          <w:highlight w:val="none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highlight w:val="none"/>
          <w:lang w:eastAsia="zh-CN"/>
        </w:rPr>
        <w:t>Approval</w:t>
      </w:r>
    </w:p>
    <w:p>
      <w:pPr>
        <w:pStyle w:val="2"/>
        <w:numPr>
          <w:ilvl w:val="0"/>
          <w:numId w:val="11"/>
        </w:numPr>
        <w:rPr>
          <w:b/>
          <w:color w:val="auto"/>
          <w:sz w:val="36"/>
          <w:szCs w:val="36"/>
          <w:highlight w:val="none"/>
        </w:rPr>
      </w:pPr>
      <w:r>
        <w:rPr>
          <w:rFonts w:hint="eastAsia" w:eastAsia="宋体"/>
          <w:b/>
          <w:color w:val="auto"/>
          <w:sz w:val="36"/>
          <w:szCs w:val="36"/>
          <w:highlight w:val="none"/>
          <w:lang w:eastAsia="zh-CN"/>
        </w:rPr>
        <w:t>Introduction</w:t>
      </w:r>
    </w:p>
    <w:p>
      <w:pP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In R16, NB-IoT feature was introduced in NR, and all of the RF requirements and test requirements have already completed and incorporated in the TS 38.104 [2] and TS 38.141-1 [3], respectively. However, the requirement of NB-IoT was not included in NR BS EMC specification TS 38.113 [1].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In this contribution, we first recall the situation in TS 38.104 [2]/TS 38.141-1 [3] and LTE EMC TS 36.113 [4] to explain the necessity of adding requirement of NB-IoT in NR BS EMC specification TS 38.113 [1], and then discuss </w:t>
      </w:r>
      <w:bookmarkStart w:id="9" w:name="OLE_LINK4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which requirements will be impacted </w:t>
      </w:r>
      <w:bookmarkEnd w:id="9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and how to add the relevant description and supplement requirements into TS 38.113 [1]. </w:t>
      </w:r>
    </w:p>
    <w:p>
      <w:pPr>
        <w:pStyle w:val="2"/>
        <w:numPr>
          <w:ilvl w:val="0"/>
          <w:numId w:val="11"/>
        </w:numPr>
        <w:rPr>
          <w:rFonts w:hint="default" w:ascii="Arial" w:hAnsi="Arial" w:eastAsia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Arial" w:hAnsi="Arial" w:eastAsia="宋体"/>
          <w:b/>
          <w:color w:val="auto"/>
          <w:sz w:val="36"/>
          <w:szCs w:val="36"/>
          <w:highlight w:val="none"/>
          <w:lang w:eastAsia="zh-CN"/>
        </w:rPr>
        <w:t>Discussion</w:t>
      </w:r>
    </w:p>
    <w:p>
      <w:pP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Before we discuss the necessity of adding requirement of NB-IoT, the definition and description of NB-IoT should be know here. </w:t>
      </w:r>
      <w:r>
        <w:rPr>
          <w:rFonts w:hint="default"/>
          <w:b w:val="0"/>
          <w:bCs w:val="0"/>
          <w:color w:val="auto"/>
          <w:sz w:val="20"/>
          <w:szCs w:val="20"/>
          <w:lang w:val="en-US" w:eastAsia="sv-SE"/>
        </w:rPr>
        <w:t>Narrowband Internet of things (NB-IoT) is a </w:t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t xml:space="preserve">low-power wide-area 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 xml:space="preserve">network (LPWAN) radio technology standard developed by </w:t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fldChar w:fldCharType="begin"/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instrText xml:space="preserve"> HYPERLINK "D:/Program%20Files%20(x86)/zMail/app/zMail/WebContent/pcWeb/Scripts/MailControls/ReadPanelIframe/javascript:void(0);" \o "3GPP" \t "D:/Program%20Files%20(x86)/zMail/app/zMail/WebContent/pcWeb/Scripts/MailControls/ReadPanelIframe/_blank" </w:instrText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fldChar w:fldCharType="separate"/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t>3GPP</w:t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fldChar w:fldCharType="end"/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t> for cellular devices and services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>, and it</w:t>
      </w:r>
      <w: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sv-SE"/>
        </w:rPr>
        <w:t xml:space="preserve"> focuses specifically on indoor coverage, low cost, long battery life, and high connection density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 xml:space="preserve">. </w:t>
      </w:r>
    </w:p>
    <w:p>
      <w:pP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>In the following sections, we review/recall the situation of NB-IoT in NR and LTE specs, respectively.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eastAsia="Yu Mincho"/>
          <w:b/>
          <w:bCs/>
          <w:color w:val="auto"/>
          <w:sz w:val="20"/>
          <w:szCs w:val="20"/>
          <w:lang w:val="en-US" w:eastAsia="zh-CN"/>
        </w:rPr>
        <w:t>2.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Yu Mincho"/>
          <w:b/>
          <w:bCs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requirement of NB-IoT in LTE BS RF/EMC specification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In LTE TS 36.104 [6], there are in-band/guard band NB-IoT and standalone NB-IoT defined. After all of the RF requirements were defined in LTE TS 36.104, the NB-IoT related requirements were introduced into LTE EMC spec TS 36.113 [4] and MSR EMC spec TS 37.113 [5].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Here, we only focus on TS36.113 [4] to review which requirements/contents should be be added to include NB-IoT.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In TS36.113 [4], the scope is shown as below: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hint="default" w:eastAsia="宋体"/>
          <w:i/>
          <w:iCs/>
          <w:sz w:val="20"/>
          <w:szCs w:val="20"/>
          <w:lang w:val="en-US" w:eastAsia="zh-CN"/>
        </w:rPr>
      </w:pPr>
      <w:bookmarkStart w:id="10" w:name="OLE_LINK8"/>
      <w:r>
        <w:rPr>
          <w:rFonts w:hint="eastAsia" w:eastAsia="宋体"/>
          <w:i/>
          <w:iCs/>
          <w:sz w:val="20"/>
          <w:szCs w:val="20"/>
          <w:lang w:val="en-US" w:eastAsia="zh-CN"/>
        </w:rPr>
        <w:t>1 Scope</w:t>
      </w:r>
    </w:p>
    <w:bookmarkEnd w:id="1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cs="v4.2.0"/>
          <w:i/>
          <w:iCs/>
          <w:sz w:val="20"/>
          <w:szCs w:val="20"/>
        </w:rPr>
      </w:pPr>
      <w:r>
        <w:rPr>
          <w:rFonts w:cs="v4.2.0"/>
          <w:i/>
          <w:iCs/>
          <w:sz w:val="20"/>
          <w:szCs w:val="20"/>
        </w:rPr>
        <w:t>The present document covers the assessment of E-UTRA</w:t>
      </w:r>
      <w:r>
        <w:rPr>
          <w:rFonts w:cs="v5.0.0"/>
          <w:i/>
          <w:iCs/>
          <w:sz w:val="20"/>
          <w:szCs w:val="20"/>
        </w:rPr>
        <w:t xml:space="preserve">, </w:t>
      </w:r>
      <w:r>
        <w:rPr>
          <w:rFonts w:cs="v5.0.0"/>
          <w:i/>
          <w:iCs/>
          <w:sz w:val="20"/>
          <w:szCs w:val="20"/>
          <w:highlight w:val="yellow"/>
        </w:rPr>
        <w:t>E-UTRA with NB-IoT or NB-IoT</w:t>
      </w:r>
      <w:r>
        <w:rPr>
          <w:rFonts w:cs="v4.2.0"/>
          <w:i/>
          <w:iCs/>
          <w:sz w:val="20"/>
          <w:szCs w:val="20"/>
          <w:highlight w:val="yellow"/>
        </w:rPr>
        <w:t xml:space="preserve"> base stations</w:t>
      </w:r>
      <w:r>
        <w:rPr>
          <w:rFonts w:cs="v4.2.0"/>
          <w:i/>
          <w:iCs/>
          <w:sz w:val="20"/>
          <w:szCs w:val="20"/>
        </w:rPr>
        <w:t xml:space="preserve">, repeaters and associated ancillary equipment in respect of Electromagnetic Compatibility (EMC).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cs="v4.2.0"/>
          <w:i/>
          <w:iCs/>
          <w:sz w:val="20"/>
          <w:szCs w:val="20"/>
        </w:rPr>
      </w:pPr>
      <w:r>
        <w:rPr>
          <w:rFonts w:cs="v4.2.0"/>
          <w:i/>
          <w:iCs/>
          <w:sz w:val="20"/>
          <w:szCs w:val="20"/>
        </w:rPr>
        <w:t>The present document specifies the applicable test conditions, performance assessment and performance criteria for E-UTRA</w:t>
      </w:r>
      <w:r>
        <w:rPr>
          <w:rFonts w:cs="v5.0.0"/>
          <w:i/>
          <w:iCs/>
          <w:sz w:val="20"/>
          <w:szCs w:val="20"/>
        </w:rPr>
        <w:t xml:space="preserve">, </w:t>
      </w:r>
      <w:r>
        <w:rPr>
          <w:rFonts w:cs="v5.0.0"/>
          <w:i/>
          <w:iCs/>
          <w:sz w:val="20"/>
          <w:szCs w:val="20"/>
          <w:highlight w:val="yellow"/>
        </w:rPr>
        <w:t>E-UTRA with NB-IoT or NB-IoT</w:t>
      </w:r>
      <w:r>
        <w:rPr>
          <w:rFonts w:cs="v4.2.0"/>
          <w:i/>
          <w:iCs/>
          <w:sz w:val="20"/>
          <w:szCs w:val="20"/>
          <w:highlight w:val="yellow"/>
        </w:rPr>
        <w:t xml:space="preserve"> base station</w:t>
      </w:r>
      <w:r>
        <w:rPr>
          <w:rFonts w:cs="v4.2.0"/>
          <w:i/>
          <w:iCs/>
          <w:sz w:val="20"/>
          <w:szCs w:val="20"/>
        </w:rPr>
        <w:t>s, repeaters and associated ancillary equipment in one of the following categories: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04" w:leftChars="100" w:hanging="284"/>
        <w:textAlignment w:val="auto"/>
        <w:rPr>
          <w:rFonts w:cs="v4.2.0"/>
          <w:i/>
          <w:iCs/>
          <w:sz w:val="20"/>
          <w:szCs w:val="20"/>
        </w:rPr>
      </w:pPr>
      <w:r>
        <w:rPr>
          <w:rFonts w:cs="v4.2.0"/>
          <w:i/>
          <w:iCs/>
          <w:sz w:val="20"/>
          <w:szCs w:val="20"/>
        </w:rPr>
        <w:t>-</w:t>
      </w:r>
      <w:r>
        <w:rPr>
          <w:rFonts w:cs="v4.2.0"/>
          <w:i/>
          <w:iCs/>
          <w:sz w:val="20"/>
          <w:szCs w:val="20"/>
        </w:rPr>
        <w:tab/>
      </w:r>
      <w:r>
        <w:rPr>
          <w:rFonts w:cs="v4.2.0"/>
          <w:i/>
          <w:iCs/>
          <w:sz w:val="20"/>
          <w:szCs w:val="20"/>
        </w:rPr>
        <w:t>base sations of E-UTRA</w:t>
      </w:r>
      <w:r>
        <w:rPr>
          <w:rFonts w:cs="v5.0.0"/>
          <w:i/>
          <w:iCs/>
          <w:sz w:val="20"/>
          <w:szCs w:val="20"/>
        </w:rPr>
        <w:t xml:space="preserve">, </w:t>
      </w:r>
      <w:r>
        <w:rPr>
          <w:rFonts w:cs="v5.0.0"/>
          <w:i/>
          <w:iCs/>
          <w:sz w:val="20"/>
          <w:szCs w:val="20"/>
          <w:highlight w:val="yellow"/>
        </w:rPr>
        <w:t>E-UTRA with NB-IoT or NB-IoT</w:t>
      </w:r>
      <w:r>
        <w:rPr>
          <w:rFonts w:cs="v4.2.0"/>
          <w:i/>
          <w:iCs/>
          <w:sz w:val="20"/>
          <w:szCs w:val="20"/>
          <w:highlight w:val="yellow"/>
        </w:rPr>
        <w:t xml:space="preserve"> </w:t>
      </w:r>
      <w:r>
        <w:rPr>
          <w:rFonts w:cs="v4.2.0"/>
          <w:i/>
          <w:iCs/>
          <w:sz w:val="20"/>
          <w:szCs w:val="20"/>
        </w:rPr>
        <w:t>meeting the requirements of TS 36.104 [2], with conformance demonstrated by compliance to TS 36.141 [3].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04" w:leftChars="100" w:hanging="284"/>
        <w:textAlignment w:val="auto"/>
        <w:rPr>
          <w:rFonts w:cs="v4.2.0"/>
          <w:i/>
          <w:iCs/>
          <w:sz w:val="20"/>
          <w:szCs w:val="20"/>
        </w:rPr>
      </w:pPr>
      <w:r>
        <w:rPr>
          <w:rFonts w:cs="v4.2.0"/>
          <w:i/>
          <w:iCs/>
          <w:sz w:val="20"/>
          <w:szCs w:val="20"/>
        </w:rPr>
        <w:t>-</w:t>
      </w:r>
      <w:r>
        <w:rPr>
          <w:rFonts w:cs="v4.2.0"/>
          <w:i/>
          <w:iCs/>
          <w:sz w:val="20"/>
          <w:szCs w:val="20"/>
        </w:rPr>
        <w:tab/>
      </w:r>
      <w:r>
        <w:rPr>
          <w:rFonts w:cs="v4.2.0"/>
          <w:i/>
          <w:iCs/>
          <w:sz w:val="20"/>
          <w:szCs w:val="20"/>
        </w:rPr>
        <w:t>repeaters of E-UTRA meeting the requirements of TS 36.106 [4], with conformance demonstrated by compliance to TS 36.143 [5].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cs="v4.2.0"/>
          <w:i/>
          <w:iCs/>
          <w:sz w:val="20"/>
          <w:szCs w:val="20"/>
        </w:rPr>
      </w:pPr>
      <w:r>
        <w:rPr>
          <w:rFonts w:cs="v4.2.0"/>
          <w:i/>
          <w:iCs/>
          <w:sz w:val="20"/>
          <w:szCs w:val="20"/>
        </w:rPr>
        <w:t>Technical requirements related to the antenna port of E-UTRA</w:t>
      </w:r>
      <w:r>
        <w:rPr>
          <w:rFonts w:cs="v5.0.0"/>
          <w:i/>
          <w:iCs/>
          <w:sz w:val="20"/>
          <w:szCs w:val="20"/>
        </w:rPr>
        <w:t xml:space="preserve">, </w:t>
      </w:r>
      <w:r>
        <w:rPr>
          <w:rFonts w:cs="v5.0.0"/>
          <w:i/>
          <w:iCs/>
          <w:sz w:val="20"/>
          <w:szCs w:val="20"/>
          <w:highlight w:val="yellow"/>
        </w:rPr>
        <w:t>E-UTRA with NB-IoT or NB-IoT</w:t>
      </w:r>
      <w:r>
        <w:rPr>
          <w:rFonts w:cs="v4.2.0"/>
          <w:i/>
          <w:iCs/>
          <w:sz w:val="20"/>
          <w:szCs w:val="20"/>
          <w:highlight w:val="yellow"/>
        </w:rPr>
        <w:t xml:space="preserve"> base stations</w:t>
      </w:r>
      <w:r>
        <w:rPr>
          <w:rFonts w:cs="v4.2.0"/>
          <w:i/>
          <w:iCs/>
          <w:sz w:val="20"/>
          <w:szCs w:val="20"/>
        </w:rPr>
        <w:t xml:space="preserve"> or repeaters are not included in the present document. These are found in the relevant product standards [2-5].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The relevant definitions are shown below:</w:t>
      </w:r>
    </w:p>
    <w:p>
      <w:pPr>
        <w:keepNext w:val="0"/>
        <w:keepLines w:val="0"/>
        <w:pageBreakBefore w:val="0"/>
        <w:widowControl/>
        <w:tabs>
          <w:tab w:val="left" w:pos="2448"/>
          <w:tab w:val="left" w:pos="946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NB-IoT In-band operation:</w:t>
      </w:r>
      <w:r>
        <w:rPr>
          <w:i/>
          <w:iCs/>
          <w:sz w:val="20"/>
          <w:szCs w:val="20"/>
        </w:rPr>
        <w:t xml:space="preserve"> NB-IoT is operating in-band when it utilizes the resource block(s) within a normal E-UTRA carrier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NB-IoT guard band operation:</w:t>
      </w:r>
      <w:r>
        <w:rPr>
          <w:i/>
          <w:iCs/>
          <w:sz w:val="20"/>
          <w:szCs w:val="20"/>
        </w:rPr>
        <w:t xml:space="preserve"> NB-IoT is operating in guard band when it utilizes the unused resource block(s) within a E-UTRA carrier's guard-band.</w:t>
      </w:r>
    </w:p>
    <w:p>
      <w:pPr>
        <w:keepNext w:val="0"/>
        <w:keepLines w:val="0"/>
        <w:pageBreakBefore w:val="0"/>
        <w:widowControl/>
        <w:tabs>
          <w:tab w:val="left" w:pos="2448"/>
          <w:tab w:val="left" w:pos="946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NB-IoT standalone operation:</w:t>
      </w:r>
      <w:r>
        <w:rPr>
          <w:i/>
          <w:iCs/>
          <w:sz w:val="20"/>
          <w:szCs w:val="20"/>
        </w:rPr>
        <w:t xml:space="preserve"> NB-IoT is operating standalone when it utilizes its own spectrum, for example the spectrum currently being used by GERAN systems as a replacement of one or more GSM carriers, as well as scattered spectrum for potential IoT deployment.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The BS test configurations are shown below:</w:t>
      </w:r>
    </w:p>
    <w:p>
      <w:pPr>
        <w:pageBreakBefore w:val="0"/>
        <w:widowControl/>
        <w:kinsoku/>
        <w:wordWrap/>
        <w:topLinePunct w:val="0"/>
        <w:bidi w:val="0"/>
        <w:snapToGrid/>
        <w:ind w:left="220" w:leftChars="100"/>
        <w:rPr>
          <w:i/>
          <w:iCs/>
          <w:snapToGrid w:val="0"/>
          <w:color w:val="auto"/>
          <w:sz w:val="20"/>
          <w:szCs w:val="20"/>
          <w:lang w:eastAsia="zh-CN"/>
        </w:rPr>
      </w:pPr>
      <w:r>
        <w:rPr>
          <w:rFonts w:hint="eastAsia"/>
          <w:i/>
          <w:iCs/>
          <w:color w:val="auto"/>
          <w:sz w:val="20"/>
          <w:szCs w:val="20"/>
          <w:lang w:eastAsia="zh-CN"/>
        </w:rPr>
        <w:t>A</w:t>
      </w:r>
      <w:r>
        <w:rPr>
          <w:i/>
          <w:iCs/>
          <w:color w:val="auto"/>
          <w:sz w:val="20"/>
          <w:szCs w:val="20"/>
        </w:rPr>
        <w:t xml:space="preserve"> 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 xml:space="preserve">NB-IoT standalone </w:t>
      </w:r>
      <w:r>
        <w:rPr>
          <w:i/>
          <w:iCs/>
          <w:color w:val="auto"/>
          <w:sz w:val="20"/>
          <w:szCs w:val="20"/>
        </w:rPr>
        <w:t xml:space="preserve">single carrier shall be used 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>f</w:t>
      </w:r>
      <w:r>
        <w:rPr>
          <w:i/>
          <w:iCs/>
          <w:color w:val="auto"/>
          <w:sz w:val="20"/>
          <w:szCs w:val="20"/>
        </w:rPr>
        <w:t xml:space="preserve">or 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 xml:space="preserve">testing of </w:t>
      </w:r>
      <w:r>
        <w:rPr>
          <w:i/>
          <w:iCs/>
          <w:color w:val="auto"/>
          <w:sz w:val="20"/>
          <w:szCs w:val="20"/>
        </w:rPr>
        <w:t xml:space="preserve">BS </w:t>
      </w:r>
      <w:r>
        <w:rPr>
          <w:i/>
          <w:iCs/>
          <w:snapToGrid w:val="0"/>
          <w:color w:val="auto"/>
          <w:sz w:val="20"/>
          <w:szCs w:val="20"/>
          <w:lang w:eastAsia="zh-CN"/>
        </w:rPr>
        <w:t xml:space="preserve">declared to be capable of </w:t>
      </w:r>
      <w:r>
        <w:rPr>
          <w:i/>
          <w:iCs/>
          <w:color w:val="auto"/>
          <w:sz w:val="20"/>
          <w:szCs w:val="20"/>
        </w:rPr>
        <w:t>single carrier operation only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>.</w:t>
      </w:r>
      <w:r>
        <w:rPr>
          <w:i/>
          <w:iCs/>
          <w:color w:val="auto"/>
          <w:sz w:val="20"/>
          <w:szCs w:val="20"/>
        </w:rPr>
        <w:t xml:space="preserve"> For other 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 xml:space="preserve">NB-IoT </w:t>
      </w:r>
      <w:r>
        <w:rPr>
          <w:i/>
          <w:iCs/>
          <w:color w:val="auto"/>
          <w:sz w:val="20"/>
          <w:szCs w:val="20"/>
        </w:rPr>
        <w:t>BS types, the test configurations in Table 4.6.1</w:t>
      </w:r>
      <w:r>
        <w:rPr>
          <w:rFonts w:hint="eastAsia"/>
          <w:i/>
          <w:iCs/>
          <w:color w:val="auto"/>
          <w:sz w:val="20"/>
          <w:szCs w:val="20"/>
          <w:lang w:eastAsia="zh-CN"/>
        </w:rPr>
        <w:t>a</w:t>
      </w:r>
      <w:r>
        <w:rPr>
          <w:i/>
          <w:iCs/>
          <w:color w:val="auto"/>
          <w:sz w:val="20"/>
          <w:szCs w:val="20"/>
        </w:rPr>
        <w:t xml:space="preserve"> shall be used. </w:t>
      </w:r>
      <w:r>
        <w:rPr>
          <w:i/>
          <w:iCs/>
          <w:snapToGrid w:val="0"/>
          <w:color w:val="auto"/>
          <w:sz w:val="20"/>
          <w:szCs w:val="20"/>
        </w:rPr>
        <w:t>The test configurations (ETCx) are defined in TS 36.141 [3], subclause 4.10.</w:t>
      </w:r>
    </w:p>
    <w:p>
      <w:pPr>
        <w:pStyle w:val="148"/>
        <w:rPr>
          <w:b/>
          <w:bCs/>
          <w:i/>
          <w:iCs/>
          <w:color w:val="auto"/>
          <w:sz w:val="20"/>
          <w:szCs w:val="20"/>
          <w:lang w:val="en-GB" w:eastAsia="ja-JP"/>
        </w:rPr>
      </w:pPr>
      <w:r>
        <w:rPr>
          <w:b/>
          <w:bCs/>
          <w:i/>
          <w:iCs/>
          <w:color w:val="auto"/>
          <w:sz w:val="20"/>
          <w:szCs w:val="20"/>
          <w:lang w:val="en-GB" w:eastAsia="ja-JP"/>
        </w:rPr>
        <w:t>Table 4.6.1</w:t>
      </w:r>
      <w:r>
        <w:rPr>
          <w:rFonts w:hint="eastAsia"/>
          <w:b/>
          <w:bCs/>
          <w:i/>
          <w:iCs/>
          <w:color w:val="auto"/>
          <w:sz w:val="20"/>
          <w:szCs w:val="20"/>
          <w:lang w:val="en-GB" w:eastAsia="zh-CN"/>
        </w:rPr>
        <w:t>a</w:t>
      </w:r>
      <w:r>
        <w:rPr>
          <w:b/>
          <w:bCs/>
          <w:i/>
          <w:iCs/>
          <w:color w:val="auto"/>
          <w:sz w:val="20"/>
          <w:szCs w:val="20"/>
          <w:lang w:val="en-GB" w:eastAsia="ja-JP"/>
        </w:rPr>
        <w:t xml:space="preserve">: Test configurations for </w:t>
      </w:r>
      <w:r>
        <w:rPr>
          <w:rFonts w:hint="eastAsia"/>
          <w:b/>
          <w:bCs/>
          <w:i/>
          <w:iCs/>
          <w:color w:val="auto"/>
          <w:sz w:val="20"/>
          <w:szCs w:val="20"/>
          <w:lang w:val="en-GB" w:eastAsia="ja-JP"/>
        </w:rPr>
        <w:t>NB-IoT</w:t>
      </w:r>
      <w:r>
        <w:rPr>
          <w:b/>
          <w:bCs/>
          <w:i/>
          <w:iCs/>
          <w:color w:val="auto"/>
          <w:sz w:val="20"/>
          <w:szCs w:val="20"/>
          <w:lang w:val="en-GB" w:eastAsia="ja-JP"/>
        </w:rPr>
        <w:t xml:space="preserve"> BS</w:t>
      </w:r>
    </w:p>
    <w:tbl>
      <w:tblPr>
        <w:tblStyle w:val="76"/>
        <w:tblW w:w="9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812"/>
        <w:gridCol w:w="2124"/>
        <w:gridCol w:w="2052"/>
        <w:gridCol w:w="2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61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BS test case</w:t>
            </w:r>
          </w:p>
        </w:tc>
        <w:tc>
          <w:tcPr>
            <w:tcW w:w="1812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NB-IoT standalone BS capable of multi-carrier in contiguous spectrum in single band</w:t>
            </w:r>
            <w:r>
              <w:rPr>
                <w:rFonts w:hint="eastAsia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 only</w:t>
            </w:r>
          </w:p>
        </w:tc>
        <w:tc>
          <w:tcPr>
            <w:tcW w:w="2124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</w:pPr>
            <w:r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E-UTRA and NB-IoT standalone BS capable of multi-carrier in contiguous spectrum in single band only</w:t>
            </w:r>
          </w:p>
        </w:tc>
        <w:tc>
          <w:tcPr>
            <w:tcW w:w="2052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E-UTRA with NB-IoT operating in-band BS capable of multi-carrier in contiguous spectrum in single band</w:t>
            </w:r>
            <w:r>
              <w:rPr>
                <w:rFonts w:hint="eastAsia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 only</w:t>
            </w:r>
          </w:p>
        </w:tc>
        <w:tc>
          <w:tcPr>
            <w:tcW w:w="2724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</w:pPr>
            <w:r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E-UTRA with NB-IoT operating</w:t>
            </w: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guard band or NB-IoT operating in-band and in guard band</w:t>
            </w:r>
            <w:r>
              <w:rPr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 BS capable of multi-carrier in contiguous spectrum in single band</w:t>
            </w:r>
            <w:r>
              <w:rPr>
                <w:rFonts w:hint="eastAsia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 xml:space="preserve">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1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Emission tests</w:t>
            </w:r>
          </w:p>
        </w:tc>
        <w:tc>
          <w:tcPr>
            <w:tcW w:w="1812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ETC</w:t>
            </w:r>
            <w:r>
              <w:rPr>
                <w:rFonts w:hint="eastAsia"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ETC</w:t>
            </w:r>
            <w:r>
              <w:rPr>
                <w:rFonts w:hint="eastAsia"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052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zh-CN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ETC</w:t>
            </w:r>
            <w:r>
              <w:rPr>
                <w:rFonts w:hint="eastAsia" w:cs="Arial"/>
                <w:i/>
                <w:iCs/>
                <w:color w:val="auto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i/>
                <w:iCs/>
                <w:color w:val="auto"/>
                <w:sz w:val="20"/>
                <w:szCs w:val="20"/>
                <w:lang w:eastAsia="zh-CN"/>
              </w:rPr>
              <w:t>ETC9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1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 xml:space="preserve">Immunity tests </w:t>
            </w:r>
          </w:p>
        </w:tc>
        <w:tc>
          <w:tcPr>
            <w:tcW w:w="1812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ETC</w:t>
            </w:r>
            <w:r>
              <w:rPr>
                <w:rFonts w:hint="eastAsia"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ETC</w:t>
            </w:r>
            <w:r>
              <w:rPr>
                <w:rFonts w:hint="eastAsia" w:cs="Arial"/>
                <w:i/>
                <w:iCs/>
                <w:snapToGrid w:val="0"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052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zh-CN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ETC</w:t>
            </w:r>
            <w:r>
              <w:rPr>
                <w:rFonts w:hint="eastAsia" w:cs="Arial"/>
                <w:i/>
                <w:iCs/>
                <w:color w:val="auto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i/>
                <w:iCs/>
                <w:color w:val="auto"/>
                <w:sz w:val="20"/>
                <w:szCs w:val="20"/>
                <w:lang w:eastAsia="zh-CN"/>
              </w:rPr>
              <w:t>ETC9</w:t>
            </w:r>
          </w:p>
        </w:tc>
      </w:tr>
    </w:tbl>
    <w:p>
      <w:pP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eastAsia="Yu Mincho"/>
          <w:color w:val="auto"/>
          <w:sz w:val="20"/>
          <w:lang w:val="en-US" w:eastAsia="zh-CN"/>
        </w:rPr>
        <w:t xml:space="preserve">And for the </w:t>
      </w:r>
      <w:r>
        <w:rPr>
          <w:rFonts w:hint="eastAsia"/>
          <w:color w:val="auto"/>
          <w:sz w:val="20"/>
          <w:lang w:val="en-US" w:eastAsia="zh-CN"/>
        </w:rPr>
        <w:t>performance criteria for continuous phenomena and</w:t>
      </w:r>
      <w:r>
        <w:t xml:space="preserve"> transient phenomena </w:t>
      </w:r>
      <w:r>
        <w:rPr>
          <w:rFonts w:hint="eastAsia"/>
          <w:color w:val="auto"/>
          <w:sz w:val="20"/>
          <w:lang w:val="en-US" w:eastAsia="zh-CN"/>
        </w:rPr>
        <w:t>:</w:t>
      </w:r>
    </w:p>
    <w:p>
      <w:pPr>
        <w:pStyle w:val="148"/>
        <w:rPr>
          <w:b/>
          <w:bCs/>
          <w:i/>
          <w:iCs/>
          <w:color w:val="auto"/>
          <w:sz w:val="20"/>
          <w:szCs w:val="20"/>
          <w:lang w:val="en-GB" w:eastAsia="zh-CN"/>
        </w:rPr>
      </w:pPr>
      <w:r>
        <w:rPr>
          <w:b/>
          <w:bCs/>
          <w:i/>
          <w:iCs/>
          <w:color w:val="auto"/>
          <w:sz w:val="20"/>
          <w:szCs w:val="20"/>
          <w:lang w:val="en-GB" w:eastAsia="ja-JP"/>
        </w:rPr>
        <w:t>Table 6.1.</w:t>
      </w:r>
      <w:r>
        <w:rPr>
          <w:rFonts w:hint="eastAsia"/>
          <w:b/>
          <w:bCs/>
          <w:i/>
          <w:iCs/>
          <w:color w:val="auto"/>
          <w:sz w:val="20"/>
          <w:szCs w:val="20"/>
          <w:lang w:val="en-GB" w:eastAsia="zh-CN"/>
        </w:rPr>
        <w:t>1a</w:t>
      </w:r>
      <w:r>
        <w:rPr>
          <w:b/>
          <w:bCs/>
          <w:i/>
          <w:iCs/>
          <w:color w:val="auto"/>
          <w:sz w:val="20"/>
          <w:szCs w:val="20"/>
          <w:lang w:val="en-GB" w:eastAsia="ja-JP"/>
        </w:rPr>
        <w:t>: NB-IoT BS Performance criteria for continuous phenomena for BS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3004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NB-IoT</w:t>
            </w:r>
          </w:p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Sub-carrier spacing</w:t>
            </w:r>
          </w:p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val="it-IT"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val="it-IT" w:eastAsia="ja-JP"/>
              </w:rPr>
              <w:t>[kHz]</w:t>
            </w:r>
          </w:p>
        </w:tc>
        <w:tc>
          <w:tcPr>
            <w:tcW w:w="3004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Bearer Information Data Rate</w:t>
            </w:r>
          </w:p>
        </w:tc>
        <w:tc>
          <w:tcPr>
            <w:tcW w:w="2318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 xml:space="preserve">Performance Criteria 1, 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3004" w:type="dxa"/>
            <w:vAlign w:val="center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FRC A14-1 in Annex A.14 in TS 36.104 [2]</w:t>
            </w:r>
          </w:p>
        </w:tc>
        <w:tc>
          <w:tcPr>
            <w:tcW w:w="2318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Throughput &gt; 95 %</w:t>
            </w:r>
          </w:p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No loss of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3.75</w:t>
            </w:r>
          </w:p>
        </w:tc>
        <w:tc>
          <w:tcPr>
            <w:tcW w:w="3004" w:type="dxa"/>
            <w:vAlign w:val="center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FRC A14-2 in Annex A.14 in TS 36.104 [2]</w:t>
            </w:r>
          </w:p>
        </w:tc>
        <w:tc>
          <w:tcPr>
            <w:tcW w:w="2318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Throughput &gt; 95 %</w:t>
            </w:r>
          </w:p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 w:val="0"/>
                <w:bCs/>
                <w:i/>
                <w:iCs/>
                <w:color w:val="auto"/>
                <w:sz w:val="20"/>
                <w:szCs w:val="20"/>
                <w:lang w:eastAsia="ja-JP"/>
              </w:rPr>
              <w:t>No loss of service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</w:p>
    <w:p>
      <w:pPr>
        <w:pStyle w:val="148"/>
        <w:rPr>
          <w:b/>
          <w:bCs/>
          <w:i/>
          <w:iCs/>
          <w:color w:val="auto"/>
          <w:sz w:val="20"/>
          <w:szCs w:val="20"/>
          <w:lang w:val="en-GB" w:eastAsia="ja-JP"/>
        </w:rPr>
      </w:pPr>
      <w:r>
        <w:rPr>
          <w:b/>
          <w:bCs/>
          <w:i/>
          <w:iCs/>
          <w:color w:val="auto"/>
          <w:sz w:val="20"/>
          <w:szCs w:val="20"/>
          <w:lang w:val="en-GB" w:eastAsia="ja-JP"/>
        </w:rPr>
        <w:t>Table 6.2.1</w:t>
      </w:r>
      <w:r>
        <w:rPr>
          <w:rFonts w:hint="eastAsia"/>
          <w:b/>
          <w:bCs/>
          <w:i/>
          <w:iCs/>
          <w:color w:val="auto"/>
          <w:sz w:val="20"/>
          <w:szCs w:val="20"/>
          <w:lang w:val="en-GB" w:eastAsia="zh-CN"/>
        </w:rPr>
        <w:t>a</w:t>
      </w:r>
      <w:r>
        <w:rPr>
          <w:b/>
          <w:bCs/>
          <w:i/>
          <w:iCs/>
          <w:color w:val="auto"/>
          <w:sz w:val="20"/>
          <w:szCs w:val="20"/>
          <w:lang w:val="en-GB" w:eastAsia="ja-JP"/>
        </w:rPr>
        <w:t>: NB-IoT BS Performance Criteria for transient phenomena for BS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2364"/>
        <w:gridCol w:w="4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</w:tcPr>
          <w:p>
            <w:pPr>
              <w:pStyle w:val="199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NB-IoT</w:t>
            </w:r>
          </w:p>
          <w:p>
            <w:pPr>
              <w:pStyle w:val="199"/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eastAsia="ja-JP"/>
              </w:rPr>
              <w:t>Sub-carrier spacing</w:t>
            </w:r>
          </w:p>
          <w:p>
            <w:pPr>
              <w:pStyle w:val="199"/>
              <w:rPr>
                <w:rFonts w:cs="v4.2.0"/>
                <w:i/>
                <w:iCs/>
                <w:color w:val="auto"/>
                <w:sz w:val="20"/>
                <w:szCs w:val="20"/>
                <w:lang w:val="it-IT"/>
              </w:rPr>
            </w:pPr>
            <w:r>
              <w:rPr>
                <w:rFonts w:cs="Arial"/>
                <w:i/>
                <w:iCs/>
                <w:color w:val="auto"/>
                <w:sz w:val="20"/>
                <w:szCs w:val="20"/>
                <w:lang w:val="it-IT" w:eastAsia="ja-JP"/>
              </w:rPr>
              <w:t>[kHz]</w:t>
            </w:r>
          </w:p>
        </w:tc>
        <w:tc>
          <w:tcPr>
            <w:tcW w:w="2364" w:type="dxa"/>
          </w:tcPr>
          <w:p>
            <w:pPr>
              <w:pStyle w:val="199"/>
              <w:rPr>
                <w:rFonts w:cs="Arial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cs="v4.2.0"/>
                <w:i/>
                <w:iCs/>
                <w:color w:val="auto"/>
                <w:sz w:val="20"/>
                <w:szCs w:val="20"/>
              </w:rPr>
              <w:t>Bearer Information Data Rate</w:t>
            </w:r>
          </w:p>
        </w:tc>
        <w:tc>
          <w:tcPr>
            <w:tcW w:w="4275" w:type="dxa"/>
          </w:tcPr>
          <w:p>
            <w:pPr>
              <w:pStyle w:val="199"/>
              <w:rPr>
                <w:rFonts w:cs="v4.2.0"/>
                <w:i/>
                <w:iCs/>
                <w:color w:val="auto"/>
                <w:sz w:val="20"/>
                <w:szCs w:val="20"/>
              </w:rPr>
            </w:pPr>
            <w:r>
              <w:rPr>
                <w:rFonts w:cs="v4.2.0"/>
                <w:i/>
                <w:iCs/>
                <w:color w:val="auto"/>
                <w:sz w:val="20"/>
                <w:szCs w:val="20"/>
              </w:rPr>
              <w:t xml:space="preserve">Performance Criteria </w:t>
            </w:r>
            <w:r>
              <w:rPr>
                <w:rFonts w:cs="v4.2.0"/>
                <w:i/>
                <w:iCs/>
                <w:color w:val="auto"/>
                <w:sz w:val="20"/>
                <w:szCs w:val="20"/>
                <w:vertAlign w:val="superscript"/>
              </w:rPr>
              <w:t>1, 2</w:t>
            </w:r>
            <w:r>
              <w:rPr>
                <w:rFonts w:cs="v4.2.0"/>
                <w:i/>
                <w:iCs/>
                <w:color w:val="auto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2364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>FRC A14-1 in Annex A.14 in TS 36.104 [2]</w:t>
            </w:r>
          </w:p>
        </w:tc>
        <w:tc>
          <w:tcPr>
            <w:tcW w:w="4275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Throughput &lt; 95 % temporarily, however the communication link shall be maintained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4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  <w:lang w:eastAsia="ja-JP"/>
              </w:rPr>
            </w:pP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>3.75</w:t>
            </w:r>
          </w:p>
        </w:tc>
        <w:tc>
          <w:tcPr>
            <w:tcW w:w="2364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  <w:lang w:eastAsia="zh-CN"/>
              </w:rPr>
            </w:pP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>FRC A14-</w:t>
            </w:r>
            <w:r>
              <w:rPr>
                <w:rFonts w:hint="eastAsia"/>
                <w:i/>
                <w:iCs/>
                <w:color w:val="auto"/>
                <w:sz w:val="20"/>
                <w:szCs w:val="20"/>
                <w:lang w:eastAsia="zh-CN"/>
              </w:rPr>
              <w:t>2</w:t>
            </w: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 xml:space="preserve"> in Annex A.14</w:t>
            </w:r>
            <w:r>
              <w:rPr>
                <w:rFonts w:hint="eastAsia"/>
                <w:i/>
                <w:iCs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iCs/>
                <w:color w:val="auto"/>
                <w:sz w:val="20"/>
                <w:szCs w:val="20"/>
                <w:lang w:eastAsia="ja-JP"/>
              </w:rPr>
              <w:t xml:space="preserve">in TS 36.104 [2] </w:t>
            </w:r>
          </w:p>
        </w:tc>
        <w:tc>
          <w:tcPr>
            <w:tcW w:w="4275" w:type="dxa"/>
          </w:tcPr>
          <w:p>
            <w:pPr>
              <w:pStyle w:val="200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Throughput &lt; 95 % temporarily, however the communication link shall be maintained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Based on the background above, 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requirements of NB-IoT have already been included in LTE EMC TS 36.113 [4], and almost all of them </w:t>
      </w:r>
      <w:bookmarkStart w:id="11" w:name="OLE_LINK7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are from the TS 36.104 [6] and TS 36.141</w:t>
      </w:r>
      <w:bookmarkEnd w:id="11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[7]. Similar situation are in the MSR EMC TS 37.113 [5] spec.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</w:pPr>
      <w:bookmarkStart w:id="12" w:name="OLE_LINK12"/>
      <w:r>
        <w:rPr>
          <w:rFonts w:hint="eastAsia" w:eastAsia="宋体"/>
          <w:b/>
          <w:bCs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Observation 1: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bookmarkStart w:id="13" w:name="OLE_LINK6"/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requirements of NB-IoT have already been included</w:t>
      </w:r>
      <w:bookmarkEnd w:id="13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in TS 36.113 and TS 37.113, where the RF requirement and test requirement/configuration are from the TS 36.104 and TS 36.141, respectively.</w:t>
      </w:r>
      <w:bookmarkEnd w:id="12"/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</w:pPr>
    </w:p>
    <w:p>
      <w:pPr>
        <w:keepNext/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 w:eastAsia="Yu Mincho"/>
          <w:b/>
          <w:bCs/>
          <w:color w:val="auto"/>
          <w:sz w:val="20"/>
          <w:szCs w:val="20"/>
          <w:u w:val="none"/>
          <w:lang w:val="en-US" w:eastAsia="zh-CN"/>
        </w:rPr>
        <w:t>2.</w:t>
      </w:r>
      <w:r>
        <w:rPr>
          <w:rFonts w:hint="eastAsia"/>
          <w:b/>
          <w:bCs/>
          <w:color w:val="auto"/>
          <w:sz w:val="20"/>
          <w:szCs w:val="20"/>
          <w:u w:val="none"/>
          <w:lang w:val="en-US" w:eastAsia="zh-CN"/>
        </w:rPr>
        <w:t>2</w:t>
      </w:r>
      <w:r>
        <w:rPr>
          <w:rFonts w:hint="eastAsia" w:eastAsia="Yu Mincho"/>
          <w:b/>
          <w:bCs/>
          <w:color w:val="auto"/>
          <w:sz w:val="20"/>
          <w:szCs w:val="20"/>
          <w:u w:val="none"/>
          <w:lang w:val="en-US" w:eastAsia="zh-CN"/>
        </w:rPr>
        <w:t xml:space="preserve"> The </w:t>
      </w:r>
      <w:r>
        <w:rPr>
          <w:rFonts w:hint="eastAsia"/>
          <w:b/>
          <w:bCs/>
          <w:color w:val="auto"/>
          <w:sz w:val="20"/>
          <w:szCs w:val="20"/>
          <w:u w:val="none"/>
          <w:lang w:val="en-US" w:eastAsia="zh-CN"/>
        </w:rPr>
        <w:t>requirement of NB-IoT in NR BS RF specification</w:t>
      </w:r>
    </w:p>
    <w:p>
      <w:pP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>The requirement of NB-IoT is introducted in NR BS RF and conformance test specifications TS 38.104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[2]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 xml:space="preserve"> and TS 38.141-1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[3]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 xml:space="preserve"> from release 16, also continued in release 17 so far.</w:t>
      </w:r>
    </w:p>
    <w:p>
      <w:pP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>The scope in TS 38.104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[2]</w:t>
      </w: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 xml:space="preserve"> with release 16 is shown as below: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hint="default" w:eastAsia="宋体"/>
          <w:i/>
          <w:iCs/>
          <w:color w:val="auto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i/>
          <w:iCs/>
          <w:color w:val="auto"/>
          <w:sz w:val="20"/>
          <w:szCs w:val="20"/>
          <w:u w:val="none"/>
          <w:lang w:val="en-US" w:eastAsia="zh-CN"/>
        </w:rPr>
        <w:t>1 Scope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cs="v5.0.0"/>
          <w:i/>
          <w:iCs/>
          <w:color w:val="auto"/>
          <w:sz w:val="20"/>
          <w:szCs w:val="20"/>
          <w:u w:val="none"/>
        </w:rPr>
      </w:pPr>
      <w:r>
        <w:rPr>
          <w:i/>
          <w:iCs/>
          <w:color w:val="auto"/>
          <w:sz w:val="20"/>
          <w:szCs w:val="20"/>
          <w:u w:val="none"/>
        </w:rPr>
        <w:t xml:space="preserve">The present document </w:t>
      </w:r>
      <w:r>
        <w:rPr>
          <w:rFonts w:cs="v5.0.0"/>
          <w:i/>
          <w:iCs/>
          <w:color w:val="auto"/>
          <w:sz w:val="20"/>
          <w:szCs w:val="20"/>
          <w:u w:val="none"/>
        </w:rPr>
        <w:t xml:space="preserve">establishes the minimum RF characteristics and minimum performance requirements of NR and </w:t>
      </w:r>
      <w:r>
        <w:rPr>
          <w:rFonts w:cs="v5.0.0"/>
          <w:i/>
          <w:iCs/>
          <w:color w:val="auto"/>
          <w:sz w:val="20"/>
          <w:szCs w:val="20"/>
          <w:highlight w:val="yellow"/>
          <w:u w:val="none"/>
        </w:rPr>
        <w:t>NB-IoT operation in NR in-band Base Station (BS)</w:t>
      </w:r>
      <w:r>
        <w:rPr>
          <w:rFonts w:cs="v5.0.0"/>
          <w:i/>
          <w:iCs/>
          <w:color w:val="auto"/>
          <w:sz w:val="20"/>
          <w:szCs w:val="20"/>
          <w:u w:val="none"/>
        </w:rPr>
        <w:t>.</w:t>
      </w:r>
    </w:p>
    <w:p>
      <w:pPr>
        <w:rPr>
          <w:rFonts w:hint="default"/>
          <w:b w:val="0"/>
          <w:b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u w:val="none"/>
          <w:lang w:val="en-US" w:eastAsia="zh-CN"/>
        </w:rPr>
        <w:t>The relevant definition in TS 38.104 [2] with release 16 is shown as below:</w:t>
      </w:r>
    </w:p>
    <w:p>
      <w:pPr>
        <w:keepNext w:val="0"/>
        <w:keepLines w:val="0"/>
        <w:pageBreakBefore w:val="0"/>
        <w:widowControl/>
        <w:tabs>
          <w:tab w:val="left" w:pos="2448"/>
          <w:tab w:val="left" w:pos="946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i/>
          <w:iCs/>
          <w:color w:val="auto"/>
          <w:sz w:val="20"/>
          <w:szCs w:val="20"/>
          <w:u w:val="none"/>
        </w:rPr>
      </w:pPr>
      <w:r>
        <w:rPr>
          <w:b/>
          <w:i/>
          <w:iCs/>
          <w:color w:val="auto"/>
          <w:sz w:val="20"/>
          <w:szCs w:val="20"/>
          <w:u w:val="none"/>
        </w:rPr>
        <w:t>NB-IoT operation in NR in-band:</w:t>
      </w:r>
      <w:r>
        <w:rPr>
          <w:i/>
          <w:iCs/>
          <w:color w:val="auto"/>
          <w:sz w:val="20"/>
          <w:szCs w:val="20"/>
          <w:u w:val="none"/>
        </w:rPr>
        <w:t xml:space="preserve"> NB-IoT is operating in-band when it is located within a NR transmission bandwidth configuration plus 15 kHz at each edge but not within the NR minimum guard band GB</w:t>
      </w:r>
      <w:r>
        <w:rPr>
          <w:i/>
          <w:iCs/>
          <w:color w:val="auto"/>
          <w:sz w:val="20"/>
          <w:szCs w:val="20"/>
          <w:u w:val="none"/>
          <w:vertAlign w:val="subscript"/>
        </w:rPr>
        <w:t>Channel</w:t>
      </w:r>
      <w:r>
        <w:rPr>
          <w:i/>
          <w:iCs/>
          <w:color w:val="auto"/>
          <w:sz w:val="20"/>
          <w:szCs w:val="20"/>
          <w:u w:val="none"/>
        </w:rPr>
        <w:t>.</w:t>
      </w:r>
    </w:p>
    <w:p>
      <w:pPr>
        <w:keepNext w:val="0"/>
        <w:keepLines w:val="0"/>
        <w:pageBreakBefore w:val="0"/>
        <w:widowControl/>
        <w:tabs>
          <w:tab w:val="left" w:pos="2448"/>
          <w:tab w:val="left" w:pos="946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i/>
          <w:iCs/>
          <w:color w:val="auto"/>
          <w:sz w:val="20"/>
          <w:szCs w:val="20"/>
          <w:u w:val="none"/>
        </w:rPr>
      </w:pPr>
      <w:r>
        <w:rPr>
          <w:b/>
          <w:i/>
          <w:iCs/>
          <w:color w:val="auto"/>
          <w:sz w:val="20"/>
          <w:szCs w:val="20"/>
          <w:u w:val="none"/>
        </w:rPr>
        <w:t>NB-IoT operation in NR guard band:</w:t>
      </w:r>
      <w:r>
        <w:rPr>
          <w:i/>
          <w:iCs/>
          <w:color w:val="auto"/>
          <w:sz w:val="20"/>
          <w:szCs w:val="20"/>
          <w:u w:val="none"/>
        </w:rPr>
        <w:t xml:space="preserve"> NB-IoT is operating in guard band when it is located within a NR BS channel bandwidth but is not NB-IoT operation in NR in-band.</w:t>
      </w:r>
    </w:p>
    <w:p>
      <w:pPr>
        <w:keepNext w:val="0"/>
        <w:keepLines w:val="0"/>
        <w:pageBreakBefore w:val="0"/>
        <w:widowControl/>
        <w:tabs>
          <w:tab w:val="left" w:pos="2448"/>
          <w:tab w:val="left" w:pos="9468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i w:val="0"/>
          <w:i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All of the RF requirements are defined in the related clauses in TS 38.104 [2] and TS 38.141-1 [3]. </w:t>
      </w:r>
    </w:p>
    <w:p>
      <w:pP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bookmarkStart w:id="14" w:name="OLE_LINK13"/>
      <w:r>
        <w:rPr>
          <w:rFonts w:hint="eastAsia" w:eastAsia="宋体"/>
          <w:b/>
          <w:bCs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Observation 2: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requirements of NB-IoT </w:t>
      </w:r>
      <w:bookmarkStart w:id="15" w:name="OLE_LINK9"/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>operation in NR in-band</w:t>
      </w:r>
      <w:bookmarkEnd w:id="15"/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have already been included in </w:t>
      </w:r>
      <w:r>
        <w:rPr>
          <w:rFonts w:hint="eastAsia" w:eastAsia="宋体"/>
          <w:i w:val="0"/>
          <w:iCs w:val="0"/>
          <w:color w:val="auto"/>
          <w:sz w:val="20"/>
          <w:szCs w:val="20"/>
          <w:u w:val="none"/>
          <w:lang w:val="en-US" w:eastAsia="zh-CN"/>
        </w:rPr>
        <w:t>TS 38.104 and TS 38.141-1.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NR BS RF and conformance test specification.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</w:p>
    <w:bookmarkEnd w:id="14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eastAsia="Yu Mincho"/>
          <w:b/>
          <w:bCs/>
          <w:color w:val="auto"/>
          <w:sz w:val="20"/>
          <w:szCs w:val="20"/>
          <w:lang w:val="en-US" w:eastAsia="zh-CN"/>
        </w:rPr>
        <w:t>2.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3</w:t>
      </w:r>
      <w:r>
        <w:rPr>
          <w:rFonts w:hint="eastAsia" w:eastAsia="Yu Mincho"/>
          <w:b/>
          <w:bCs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requirement of NB-IoT in NR BS EMC specification TS 38.113</w:t>
      </w:r>
    </w:p>
    <w:p>
      <w:pPr>
        <w:tabs>
          <w:tab w:val="left" w:pos="2448"/>
          <w:tab w:val="left" w:pos="9468"/>
        </w:tabs>
        <w:rPr>
          <w:rFonts w:hint="eastAsia" w:eastAsia="宋体"/>
          <w:i w:val="0"/>
          <w:iCs w:val="0"/>
          <w:color w:val="auto"/>
          <w:sz w:val="20"/>
          <w:u w:val="none"/>
          <w:lang w:val="en-US" w:eastAsia="zh-CN"/>
        </w:rPr>
      </w:pPr>
      <w:r>
        <w:rPr>
          <w:rFonts w:hint="eastAsia" w:eastAsia="宋体"/>
          <w:i w:val="0"/>
          <w:iCs w:val="0"/>
          <w:color w:val="auto"/>
          <w:sz w:val="20"/>
          <w:u w:val="none"/>
          <w:lang w:val="en-US" w:eastAsia="zh-CN"/>
        </w:rPr>
        <w:t>The scope of TS 38.113 [1] is captured as follow: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20" w:leftChars="100"/>
        <w:textAlignment w:val="auto"/>
        <w:rPr>
          <w:rFonts w:hint="default" w:eastAsia="宋体"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i/>
          <w:iCs/>
          <w:sz w:val="20"/>
          <w:szCs w:val="20"/>
          <w:lang w:val="en-US" w:eastAsia="zh-CN"/>
        </w:rPr>
        <w:t>1 Scope</w:t>
      </w:r>
    </w:p>
    <w:p>
      <w:pPr>
        <w:ind w:left="220" w:leftChars="100"/>
        <w:rPr>
          <w:i/>
          <w:iCs/>
          <w:color w:val="auto"/>
          <w:sz w:val="20"/>
          <w:u w:val="none"/>
        </w:rPr>
      </w:pPr>
      <w:r>
        <w:rPr>
          <w:i/>
          <w:iCs/>
          <w:color w:val="auto"/>
          <w:sz w:val="20"/>
          <w:u w:val="none"/>
        </w:rPr>
        <w:t xml:space="preserve">The present document covers the assessment of </w:t>
      </w:r>
      <w:r>
        <w:rPr>
          <w:rFonts w:eastAsia="Yu Mincho"/>
          <w:i/>
          <w:iCs/>
          <w:color w:val="auto"/>
          <w:sz w:val="20"/>
          <w:u w:val="none"/>
        </w:rPr>
        <w:t xml:space="preserve">NR </w:t>
      </w:r>
      <w:r>
        <w:rPr>
          <w:i/>
          <w:iCs/>
          <w:color w:val="auto"/>
          <w:sz w:val="20"/>
          <w:u w:val="none"/>
        </w:rPr>
        <w:t>Base Station (BS) and ancillary equipment in respect of Electromagnetic Compatibility (EMC).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Also there are no contents related to NR NB-IoT in the following clauses in TS 38.113 [1]. Due to the requirements of NB-IoT have already been included in NR BS TS 38.104 [2]/TS 38.141-1 [3] specifications, by using the same approaches with LTE, the NR NB-IoT should be introduced into NR EMC TS 38.113 [1] spec.</w:t>
      </w:r>
    </w:p>
    <w:p>
      <w:pPr>
        <w:bidi w:val="0"/>
        <w:ind w:left="0" w:firstLine="0" w:firstLineChars="0"/>
        <w:rPr>
          <w:rFonts w:hint="default" w:cs="Times New Roman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/>
          <w:bCs w:val="0"/>
          <w:i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Proposal 1: 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requirement of NB-IoT </w:t>
      </w:r>
      <w:bookmarkStart w:id="16" w:name="OLE_LINK11"/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>operation in NR in-band</w:t>
      </w:r>
      <w:bookmarkEnd w:id="16"/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should be added in NR BS EMC specification TS 38.113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According to the requirement of NB-IoT in RF and EMC specification, the corresponding description should be added in TS 38.113 [1], including in the scope, defin</w:t>
      </w:r>
      <w:r>
        <w:rPr>
          <w:rFonts w:hint="eastAsia" w:eastAsia="宋体"/>
          <w:sz w:val="20"/>
          <w:szCs w:val="20"/>
          <w:lang w:val="en-US" w:eastAsia="zh-CN"/>
        </w:rPr>
        <w:t>itions, abbreviations, test configur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ations, p</w:t>
      </w:r>
      <w:r>
        <w:rPr>
          <w:sz w:val="20"/>
          <w:szCs w:val="20"/>
        </w:rPr>
        <w:t xml:space="preserve">erformance criteria </w:t>
      </w:r>
      <w:r>
        <w:rPr>
          <w:rFonts w:hint="eastAsia" w:eastAsia="宋体"/>
          <w:sz w:val="20"/>
          <w:szCs w:val="20"/>
          <w:lang w:val="en-US" w:eastAsia="zh-CN"/>
        </w:rPr>
        <w:t xml:space="preserve">etc. For the content and description of scope, definition, abbreviations and performance criteria, we can refer to NR BS RF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specification TS 38.104 [2]</w:t>
      </w:r>
      <w:r>
        <w:rPr>
          <w:rFonts w:hint="eastAsia" w:eastAsia="宋体"/>
          <w:sz w:val="20"/>
          <w:szCs w:val="20"/>
          <w:lang w:val="en-US" w:eastAsia="zh-CN"/>
        </w:rPr>
        <w:t xml:space="preserve">; for the content and description of test configuration, we can refer to NR BS conformance test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specification TS 38.141-1 [3].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eastAsia="宋体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snapToGrid w:val="0"/>
          <w:sz w:val="20"/>
          <w:szCs w:val="20"/>
        </w:rPr>
        <w:t>The test configuratio</w:t>
      </w:r>
      <w:r>
        <w:rPr>
          <w:rFonts w:hint="eastAsia" w:eastAsia="宋体"/>
          <w:sz w:val="20"/>
          <w:szCs w:val="20"/>
          <w:lang w:val="en-US" w:eastAsia="zh-CN"/>
        </w:rPr>
        <w:t xml:space="preserve">ns (NRTCx) are defined in TS 38.141-1 [3], subclause 4.7 for BS type 1-C and BS type 1-H; </w:t>
      </w:r>
      <w:r>
        <w:rPr>
          <w:rFonts w:hint="eastAsia" w:eastAsia="宋体"/>
          <w:sz w:val="20"/>
          <w:szCs w:val="20"/>
          <w:lang w:val="en-GB" w:eastAsia="ja-JP"/>
        </w:rPr>
        <w:t>NB-IoT</w:t>
      </w:r>
      <w:r>
        <w:rPr>
          <w:rFonts w:hint="eastAsia" w:eastAsia="宋体"/>
          <w:sz w:val="20"/>
          <w:szCs w:val="20"/>
          <w:lang w:val="en-US" w:eastAsia="zh-CN"/>
        </w:rPr>
        <w:t xml:space="preserve"> is not applicable to BS type 1-O and BS type 2-O.</w:t>
      </w:r>
    </w:p>
    <w:p>
      <w:pPr>
        <w:pStyle w:val="148"/>
        <w:rPr>
          <w:b/>
          <w:bCs/>
          <w:color w:val="auto"/>
          <w:sz w:val="20"/>
          <w:szCs w:val="20"/>
          <w:lang w:val="en-GB" w:eastAsia="ja-JP"/>
        </w:rPr>
      </w:pPr>
      <w:r>
        <w:rPr>
          <w:b/>
          <w:bCs/>
          <w:color w:val="auto"/>
          <w:sz w:val="20"/>
          <w:szCs w:val="20"/>
          <w:lang w:val="en-GB" w:eastAsia="ja-JP"/>
        </w:rPr>
        <w:t xml:space="preserve">Table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x</w:t>
      </w:r>
      <w:r>
        <w:rPr>
          <w:b/>
          <w:bCs/>
          <w:color w:val="auto"/>
          <w:sz w:val="20"/>
          <w:szCs w:val="20"/>
          <w:lang w:val="en-GB" w:eastAsia="ja-JP"/>
        </w:rPr>
        <w:t xml:space="preserve">: Test configurations for </w:t>
      </w:r>
      <w:r>
        <w:rPr>
          <w:rFonts w:hint="eastAsia"/>
          <w:b/>
          <w:bCs/>
          <w:color w:val="auto"/>
          <w:sz w:val="20"/>
          <w:szCs w:val="20"/>
          <w:lang w:val="en-GB" w:eastAsia="ja-JP"/>
        </w:rPr>
        <w:t>NB-IoT</w:t>
      </w:r>
      <w:r>
        <w:rPr>
          <w:b/>
          <w:bCs/>
          <w:color w:val="auto"/>
          <w:sz w:val="20"/>
          <w:szCs w:val="20"/>
          <w:lang w:val="en-GB" w:eastAsia="ja-JP"/>
        </w:rPr>
        <w:t xml:space="preserve"> BS</w:t>
      </w:r>
    </w:p>
    <w:tbl>
      <w:tblPr>
        <w:tblStyle w:val="76"/>
        <w:tblW w:w="8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2959"/>
        <w:gridCol w:w="3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50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  <w:t>BS test case</w:t>
            </w:r>
          </w:p>
        </w:tc>
        <w:tc>
          <w:tcPr>
            <w:tcW w:w="2959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</w:pPr>
            <w:r>
              <w:rPr>
                <w:rFonts w:hint="eastAsia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 xml:space="preserve">NR Contiguous spectrum operation </w:t>
            </w:r>
            <w:r>
              <w:rPr>
                <w:color w:val="auto"/>
                <w:sz w:val="20"/>
                <w:szCs w:val="20"/>
              </w:rPr>
              <w:t>with NB-IoT operation in NR in-band</w:t>
            </w:r>
            <w:r>
              <w:rPr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324" w:type="dxa"/>
          </w:tcPr>
          <w:p>
            <w:pPr>
              <w:pStyle w:val="199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NR N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>on-contiguous spectrum operation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with NB-IoT operation in NR in-band</w:t>
            </w:r>
            <w:r>
              <w:rPr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  <w:t>Emission tests</w:t>
            </w:r>
          </w:p>
        </w:tc>
        <w:tc>
          <w:tcPr>
            <w:tcW w:w="2959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hint="default" w:cs="Arial"/>
                <w:i w:val="0"/>
                <w:i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NR</w:t>
            </w:r>
            <w:r>
              <w:rPr>
                <w:rFonts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>TC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3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NR</w:t>
            </w:r>
            <w:r>
              <w:rPr>
                <w:rFonts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>TC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0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ja-JP"/>
              </w:rPr>
              <w:t xml:space="preserve">Immunity tests </w:t>
            </w:r>
          </w:p>
        </w:tc>
        <w:tc>
          <w:tcPr>
            <w:tcW w:w="2959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NR</w:t>
            </w:r>
            <w:r>
              <w:rPr>
                <w:rFonts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>TC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324" w:type="dxa"/>
          </w:tcPr>
          <w:p>
            <w:pPr>
              <w:pStyle w:val="200"/>
              <w:pageBreakBefore w:val="0"/>
              <w:widowControl/>
              <w:kinsoku/>
              <w:wordWrap/>
              <w:topLinePunct w:val="0"/>
              <w:bidi w:val="0"/>
              <w:snapToGrid/>
              <w:ind w:left="220" w:leftChars="100"/>
              <w:rPr>
                <w:rFonts w:cs="Arial"/>
                <w:i w:val="0"/>
                <w:iCs w:val="0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NR</w:t>
            </w:r>
            <w:r>
              <w:rPr>
                <w:rFonts w:cs="Arial"/>
                <w:i w:val="0"/>
                <w:iCs w:val="0"/>
                <w:snapToGrid w:val="0"/>
                <w:color w:val="auto"/>
                <w:sz w:val="20"/>
                <w:szCs w:val="20"/>
                <w:lang w:eastAsia="zh-CN"/>
              </w:rPr>
              <w:t>TC</w:t>
            </w:r>
            <w:r>
              <w:rPr>
                <w:rFonts w:hint="eastAsia" w:cs="Arial"/>
                <w:i w:val="0"/>
                <w:iCs w:val="0"/>
                <w:snapToGrid w:val="0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eastAsia="Yu Mincho"/>
          <w:color w:val="auto"/>
          <w:sz w:val="20"/>
          <w:lang w:val="en-US" w:eastAsia="zh-CN"/>
        </w:rPr>
      </w:pPr>
      <w:r>
        <w:rPr>
          <w:rFonts w:hint="eastAsia" w:eastAsia="Yu Mincho"/>
          <w:color w:val="auto"/>
          <w:sz w:val="20"/>
          <w:lang w:val="en-US" w:eastAsia="zh-CN"/>
        </w:rPr>
        <w:t xml:space="preserve">In addition to add the requirement of NB-IoT in the test configuration for NR BS EMC specification, the corresponding performance criteria part also should introduce the requirement of NB-IoT. </w:t>
      </w:r>
      <w:r>
        <w:rPr>
          <w:rFonts w:hint="eastAsia"/>
          <w:color w:val="auto"/>
          <w:sz w:val="20"/>
          <w:lang w:val="en-US" w:eastAsia="zh-CN"/>
        </w:rPr>
        <w:t xml:space="preserve">Performance </w:t>
      </w:r>
      <w:r>
        <w:rPr>
          <w:rFonts w:hint="eastAsia" w:eastAsia="Yu Mincho"/>
          <w:color w:val="auto"/>
          <w:sz w:val="20"/>
          <w:lang w:val="en-US" w:eastAsia="zh-CN"/>
        </w:rPr>
        <w:t xml:space="preserve">criteria is recommended to describe like this with below tables: (1) The notes for </w:t>
      </w:r>
      <w:r>
        <w:rPr>
          <w:rFonts w:hint="eastAsia"/>
          <w:color w:val="auto"/>
          <w:sz w:val="20"/>
          <w:lang w:val="en-US" w:eastAsia="zh-CN"/>
        </w:rPr>
        <w:t>FR1 performance c</w:t>
      </w:r>
      <w:r>
        <w:rPr>
          <w:rFonts w:hint="eastAsia" w:eastAsia="Yu Mincho"/>
          <w:color w:val="auto"/>
          <w:sz w:val="20"/>
          <w:lang w:val="en-US" w:eastAsia="zh-CN"/>
        </w:rPr>
        <w:t>riteria; (2) The NB-IoT BS Performance criteria.</w:t>
      </w:r>
    </w:p>
    <w:p>
      <w:pPr>
        <w:pStyle w:val="148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Table </w:t>
      </w:r>
      <w:r>
        <w:rPr>
          <w:rFonts w:hint="eastAsia" w:eastAsia="宋体"/>
          <w:b/>
          <w:bCs/>
          <w:color w:val="auto"/>
          <w:sz w:val="20"/>
          <w:szCs w:val="20"/>
          <w:lang w:val="en-US" w:eastAsia="zh-CN"/>
        </w:rPr>
        <w:t>x</w:t>
      </w:r>
      <w:r>
        <w:rPr>
          <w:b/>
          <w:bCs/>
          <w:color w:val="auto"/>
          <w:sz w:val="20"/>
          <w:szCs w:val="20"/>
        </w:rPr>
        <w:t xml:space="preserve">: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FR1</w:t>
      </w:r>
      <w:r>
        <w:rPr>
          <w:rFonts w:hint="eastAsia"/>
          <w:b/>
          <w:bCs/>
          <w:color w:val="auto"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p</w:t>
      </w:r>
      <w:r>
        <w:rPr>
          <w:b/>
          <w:bCs/>
          <w:color w:val="auto"/>
          <w:sz w:val="20"/>
          <w:szCs w:val="20"/>
        </w:rPr>
        <w:t xml:space="preserve">erformance </w:t>
      </w:r>
      <w:r>
        <w:rPr>
          <w:rFonts w:hint="eastAsia"/>
          <w:b/>
          <w:bCs/>
          <w:color w:val="auto"/>
          <w:sz w:val="20"/>
          <w:szCs w:val="20"/>
          <w:lang w:val="en-US" w:eastAsia="zh-CN"/>
        </w:rPr>
        <w:t>c</w:t>
      </w:r>
      <w:r>
        <w:rPr>
          <w:b/>
          <w:bCs/>
          <w:color w:val="auto"/>
          <w:sz w:val="20"/>
          <w:szCs w:val="20"/>
        </w:rPr>
        <w:t>riteria for continuous phenomena for BS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1949"/>
        <w:gridCol w:w="2620"/>
        <w:gridCol w:w="2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199"/>
              <w:rPr>
                <w:rFonts w:cs="Arial"/>
                <w:color w:val="auto"/>
                <w:sz w:val="20"/>
                <w:szCs w:val="20"/>
                <w:lang w:val="it-IT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NR</w:t>
            </w:r>
            <w:r>
              <w:rPr>
                <w:rFonts w:cs="Arial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c</w:t>
            </w:r>
            <w:r>
              <w:rPr>
                <w:rFonts w:cs="Arial"/>
                <w:color w:val="auto"/>
                <w:sz w:val="20"/>
                <w:szCs w:val="20"/>
                <w:lang w:val="it-IT"/>
              </w:rPr>
              <w:t xml:space="preserve">hannel 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cs="Arial"/>
                <w:color w:val="auto"/>
                <w:sz w:val="20"/>
                <w:szCs w:val="20"/>
                <w:lang w:val="it-IT"/>
              </w:rPr>
              <w:t>andwidth (MHz)</w:t>
            </w:r>
          </w:p>
        </w:tc>
        <w:tc>
          <w:tcPr>
            <w:tcW w:w="1949" w:type="dxa"/>
          </w:tcPr>
          <w:p>
            <w:pPr>
              <w:pStyle w:val="199"/>
              <w:rPr>
                <w:rFonts w:cs="v4.2.0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Sub-carrier spacing (kHz)</w:t>
            </w:r>
          </w:p>
        </w:tc>
        <w:tc>
          <w:tcPr>
            <w:tcW w:w="2620" w:type="dxa"/>
          </w:tcPr>
          <w:p>
            <w:pPr>
              <w:pStyle w:val="199"/>
              <w:rPr>
                <w:rFonts w:cs="v4.2.0"/>
                <w:color w:val="auto"/>
                <w:sz w:val="20"/>
                <w:szCs w:val="20"/>
              </w:rPr>
            </w:pPr>
            <w:r>
              <w:rPr>
                <w:rFonts w:cs="v4.2.0"/>
                <w:color w:val="auto"/>
                <w:sz w:val="20"/>
                <w:szCs w:val="20"/>
              </w:rPr>
              <w:t xml:space="preserve">Bearer </w:t>
            </w:r>
            <w:r>
              <w:rPr>
                <w:rFonts w:hint="eastAsia" w:cs="v4.2.0"/>
                <w:color w:val="auto"/>
                <w:sz w:val="20"/>
                <w:szCs w:val="20"/>
                <w:lang w:val="en-US" w:eastAsia="zh-CN"/>
              </w:rPr>
              <w:t>i</w:t>
            </w:r>
            <w:r>
              <w:rPr>
                <w:rFonts w:cs="v4.2.0"/>
                <w:color w:val="auto"/>
                <w:sz w:val="20"/>
                <w:szCs w:val="20"/>
              </w:rPr>
              <w:t xml:space="preserve">nformation </w:t>
            </w:r>
            <w:r>
              <w:rPr>
                <w:rFonts w:hint="eastAsia" w:cs="v4.2.0"/>
                <w:color w:val="auto"/>
                <w:sz w:val="20"/>
                <w:szCs w:val="20"/>
                <w:lang w:val="en-US" w:eastAsia="zh-CN"/>
              </w:rPr>
              <w:t>d</w:t>
            </w:r>
            <w:r>
              <w:rPr>
                <w:rFonts w:cs="v4.2.0"/>
                <w:color w:val="auto"/>
                <w:sz w:val="20"/>
                <w:szCs w:val="20"/>
              </w:rPr>
              <w:t xml:space="preserve">ata </w:t>
            </w:r>
            <w:r>
              <w:rPr>
                <w:rFonts w:hint="eastAsia" w:cs="v4.2.0"/>
                <w:color w:val="auto"/>
                <w:sz w:val="20"/>
                <w:szCs w:val="20"/>
                <w:lang w:val="en-US" w:eastAsia="zh-CN"/>
              </w:rPr>
              <w:t>r</w:t>
            </w:r>
            <w:r>
              <w:rPr>
                <w:rFonts w:cs="v4.2.0"/>
                <w:color w:val="auto"/>
                <w:sz w:val="20"/>
                <w:szCs w:val="20"/>
              </w:rPr>
              <w:t>ate</w:t>
            </w:r>
          </w:p>
        </w:tc>
        <w:tc>
          <w:tcPr>
            <w:tcW w:w="2165" w:type="dxa"/>
            <w:tcBorders>
              <w:bottom w:val="single" w:color="auto" w:sz="4" w:space="0"/>
            </w:tcBorders>
          </w:tcPr>
          <w:p>
            <w:pPr>
              <w:pStyle w:val="199"/>
              <w:rPr>
                <w:rFonts w:cs="v4.2.0"/>
                <w:color w:val="auto"/>
                <w:sz w:val="20"/>
                <w:szCs w:val="20"/>
              </w:rPr>
            </w:pPr>
            <w:r>
              <w:rPr>
                <w:rFonts w:cs="v4.2.0"/>
                <w:color w:val="auto"/>
                <w:sz w:val="20"/>
                <w:szCs w:val="20"/>
              </w:rPr>
              <w:t xml:space="preserve">Performance </w:t>
            </w:r>
            <w:r>
              <w:rPr>
                <w:rFonts w:hint="eastAsia" w:cs="v4.2.0"/>
                <w:color w:val="auto"/>
                <w:sz w:val="20"/>
                <w:szCs w:val="20"/>
                <w:lang w:val="en-US" w:eastAsia="zh-CN"/>
              </w:rPr>
              <w:t>c</w:t>
            </w:r>
            <w:r>
              <w:rPr>
                <w:rFonts w:cs="v4.2.0"/>
                <w:color w:val="auto"/>
                <w:sz w:val="20"/>
                <w:szCs w:val="20"/>
              </w:rPr>
              <w:t>riteria</w:t>
            </w:r>
          </w:p>
          <w:p>
            <w:pPr>
              <w:pStyle w:val="199"/>
              <w:rPr>
                <w:rFonts w:cs="v4.2.0"/>
                <w:color w:val="auto"/>
                <w:sz w:val="20"/>
                <w:szCs w:val="20"/>
              </w:rPr>
            </w:pPr>
            <w:r>
              <w:rPr>
                <w:rFonts w:cs="v4.2.0"/>
                <w:color w:val="auto"/>
                <w:sz w:val="20"/>
                <w:szCs w:val="20"/>
              </w:rPr>
              <w:t>(Note 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5, 10, 15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G-FR1-A1-1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in annex A.1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auto"/>
                <w:kern w:val="2"/>
                <w:sz w:val="20"/>
                <w:szCs w:val="20"/>
                <w:lang w:val="en-GB" w:eastAsia="zh-CN" w:bidi="ar-SA"/>
              </w:rPr>
              <w:t>G-FR1-A1-10 (Note 3)</w:t>
            </w:r>
          </w:p>
        </w:tc>
        <w:tc>
          <w:tcPr>
            <w:tcW w:w="2165" w:type="dxa"/>
            <w:tcBorders>
              <w:bottom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Throughput &gt; 95 %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,</w:t>
            </w:r>
          </w:p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no loss of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10, 15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G-FR1-A1-2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 xml:space="preserve">in annex </w:t>
            </w: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</w:tc>
        <w:tc>
          <w:tcPr>
            <w:tcW w:w="21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10, 15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 xml:space="preserve">in annex </w:t>
            </w: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</w:tc>
        <w:tc>
          <w:tcPr>
            <w:tcW w:w="21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20, 25, 30, 40, 50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G-FR1-A1-4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 xml:space="preserve">in annex </w:t>
            </w: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宋体" w:cs="Arial"/>
                <w:color w:val="auto"/>
                <w:kern w:val="2"/>
                <w:sz w:val="20"/>
                <w:szCs w:val="20"/>
                <w:lang w:val="en-GB" w:eastAsia="zh-CN" w:bidi="ar-SA"/>
              </w:rPr>
              <w:t>G-FR1-A1-11 (Note 4)</w:t>
            </w:r>
          </w:p>
        </w:tc>
        <w:tc>
          <w:tcPr>
            <w:tcW w:w="21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20, 25, 30,</w:t>
            </w:r>
            <w:r>
              <w:rPr>
                <w:rFonts w:hint="eastAsia" w:eastAsia="宋体" w:cs="Arial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color w:val="auto"/>
                <w:sz w:val="20"/>
                <w:szCs w:val="20"/>
              </w:rPr>
              <w:t>40, 50, 60, 70, 80, 90, 100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G-FR1-A1-5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 xml:space="preserve">in annex </w:t>
            </w: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</w:tc>
        <w:tc>
          <w:tcPr>
            <w:tcW w:w="21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8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20, 25, 30, 40, 50, 60, 70, 80, 90, 100</w:t>
            </w:r>
          </w:p>
        </w:tc>
        <w:tc>
          <w:tcPr>
            <w:tcW w:w="1949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2620" w:type="dxa"/>
          </w:tcPr>
          <w:p>
            <w:pPr>
              <w:pStyle w:val="200"/>
              <w:rPr>
                <w:rFonts w:cs="Arial"/>
                <w:bCs/>
                <w:color w:val="auto"/>
                <w:sz w:val="20"/>
                <w:szCs w:val="20"/>
                <w:lang w:eastAsia="ja-JP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G-FR1-A1-6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 xml:space="preserve">in annex </w:t>
            </w:r>
            <w:r>
              <w:rPr>
                <w:rFonts w:cs="Arial"/>
                <w:bCs/>
                <w:color w:val="auto"/>
                <w:sz w:val="20"/>
                <w:szCs w:val="20"/>
                <w:lang w:val="en-US" w:eastAsia="zh-CN"/>
              </w:rPr>
              <w:t>A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 in TS 3</w:t>
            </w:r>
            <w:r>
              <w:rPr>
                <w:rFonts w:hint="eastAsia" w:cs="Arial"/>
                <w:bCs/>
                <w:color w:val="auto"/>
                <w:sz w:val="20"/>
                <w:szCs w:val="20"/>
                <w:lang w:val="en-US" w:eastAsia="zh-CN"/>
              </w:rPr>
              <w:t>8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.104 [2]</w:t>
            </w:r>
          </w:p>
        </w:tc>
        <w:tc>
          <w:tcPr>
            <w:tcW w:w="2165" w:type="dxa"/>
            <w:tcBorders>
              <w:top w:val="nil"/>
            </w:tcBorders>
            <w:shd w:val="clear" w:color="auto" w:fill="auto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2" w:type="dxa"/>
            <w:gridSpan w:val="4"/>
            <w:vAlign w:val="center"/>
          </w:tcPr>
          <w:p>
            <w:pPr>
              <w:pStyle w:val="17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NOTE 1:</w:t>
            </w:r>
            <w:r>
              <w:rPr>
                <w:color w:val="auto"/>
                <w:sz w:val="20"/>
                <w:szCs w:val="20"/>
              </w:rPr>
              <w:tab/>
            </w:r>
            <w:r>
              <w:rPr>
                <w:color w:val="auto"/>
                <w:sz w:val="20"/>
                <w:szCs w:val="20"/>
              </w:rPr>
              <w:t xml:space="preserve">The performance criteria, throughput </w:t>
            </w:r>
            <w:r>
              <w:rPr>
                <w:rFonts w:cs="Arial"/>
                <w:color w:val="auto"/>
                <w:sz w:val="20"/>
                <w:szCs w:val="20"/>
              </w:rPr>
              <w:t xml:space="preserve">&gt; 95 %, 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no loss of service</w:t>
            </w:r>
            <w:r>
              <w:rPr>
                <w:color w:val="auto"/>
                <w:sz w:val="20"/>
                <w:szCs w:val="20"/>
              </w:rPr>
              <w:t>, applies also if a bearer with another characteristics is used in the test.</w:t>
            </w:r>
          </w:p>
          <w:p>
            <w:pPr>
              <w:pStyle w:val="17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NOTE 2:</w:t>
            </w:r>
            <w:r>
              <w:rPr>
                <w:color w:val="auto"/>
                <w:sz w:val="20"/>
                <w:szCs w:val="20"/>
              </w:rPr>
              <w:tab/>
            </w:r>
            <w:r>
              <w:rPr>
                <w:color w:val="auto"/>
                <w:sz w:val="20"/>
                <w:szCs w:val="20"/>
              </w:rPr>
              <w:t xml:space="preserve">The performance criteria, throughput </w:t>
            </w:r>
            <w:r>
              <w:rPr>
                <w:rFonts w:cs="Arial"/>
                <w:color w:val="auto"/>
                <w:sz w:val="20"/>
                <w:szCs w:val="20"/>
              </w:rPr>
              <w:t>&gt; 9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cs="Arial"/>
                <w:color w:val="auto"/>
                <w:sz w:val="20"/>
                <w:szCs w:val="20"/>
              </w:rPr>
              <w:t xml:space="preserve"> %,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no loss of service</w:t>
            </w:r>
            <w:r>
              <w:rPr>
                <w:color w:val="auto"/>
                <w:sz w:val="20"/>
                <w:szCs w:val="20"/>
              </w:rPr>
              <w:t>, applies instead if the uplink and downlink paths are evaluated as a one loop.</w:t>
            </w:r>
          </w:p>
          <w:p>
            <w:pPr>
              <w:pStyle w:val="170"/>
              <w:rPr>
                <w:color w:val="auto"/>
                <w:sz w:val="20"/>
                <w:szCs w:val="20"/>
              </w:rPr>
            </w:pPr>
            <w:r>
              <w:rPr>
                <w:rFonts w:hint="eastAsia" w:cs="v5.0.0"/>
                <w:color w:val="auto"/>
                <w:sz w:val="20"/>
                <w:szCs w:val="20"/>
                <w:lang w:eastAsia="zh-CN"/>
              </w:rPr>
              <w:t>N</w:t>
            </w:r>
            <w:r>
              <w:rPr>
                <w:rFonts w:cs="v5.0.0"/>
                <w:color w:val="auto"/>
                <w:sz w:val="20"/>
                <w:szCs w:val="20"/>
                <w:lang w:eastAsia="zh-CN"/>
              </w:rPr>
              <w:t>OTE 3</w:t>
            </w:r>
            <w:r>
              <w:rPr>
                <w:color w:val="auto"/>
                <w:sz w:val="20"/>
                <w:szCs w:val="20"/>
              </w:rPr>
              <w:t>:</w:t>
            </w:r>
            <w:r>
              <w:rPr>
                <w:color w:val="auto"/>
                <w:sz w:val="20"/>
                <w:szCs w:val="20"/>
              </w:rPr>
              <w:tab/>
            </w: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0"/>
                <w:szCs w:val="20"/>
                <w:vertAlign w:val="subscript"/>
              </w:rPr>
              <w:t>REFSENS</w:t>
            </w:r>
            <w:r>
              <w:rPr>
                <w:color w:val="auto"/>
                <w:sz w:val="20"/>
                <w:szCs w:val="20"/>
              </w:rPr>
              <w:t xml:space="preserve"> is the power level of a single instance of the reference measurement channel. This requirement shall be met for a single instance of G-FR1-A1-10 mapped to the 24 </w:t>
            </w:r>
            <w:r>
              <w:rPr>
                <w:rFonts w:cs="v5.0.0"/>
                <w:color w:val="auto"/>
                <w:sz w:val="20"/>
                <w:szCs w:val="20"/>
              </w:rPr>
              <w:t>NR</w:t>
            </w:r>
            <w:r>
              <w:rPr>
                <w:color w:val="auto"/>
                <w:sz w:val="20"/>
                <w:szCs w:val="20"/>
              </w:rPr>
              <w:t xml:space="preserve"> resource blocks adjacent to the NB-IoT PRB, and for each consecutive application of a single instance of G-FR1-A1-1 mapped to disjoint frequency ranges with a width of 25 resource blocks each.</w:t>
            </w:r>
          </w:p>
          <w:p>
            <w:pPr>
              <w:pStyle w:val="17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NOTE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4:</w:t>
            </w:r>
            <w:r>
              <w:rPr>
                <w:color w:val="auto"/>
                <w:sz w:val="20"/>
                <w:szCs w:val="20"/>
              </w:rPr>
              <w:tab/>
            </w: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0"/>
                <w:szCs w:val="20"/>
                <w:vertAlign w:val="subscript"/>
              </w:rPr>
              <w:t>REFSENS</w:t>
            </w:r>
            <w:r>
              <w:rPr>
                <w:color w:val="auto"/>
                <w:sz w:val="20"/>
                <w:szCs w:val="20"/>
              </w:rPr>
              <w:t xml:space="preserve"> is the power level of a single instance of the reference measurement channel. This requirement shall be met for a single instance of G-FR1-A1-11 mapped to the 105 </w:t>
            </w:r>
            <w:r>
              <w:rPr>
                <w:rFonts w:cs="v5.0.0"/>
                <w:color w:val="auto"/>
                <w:sz w:val="20"/>
                <w:szCs w:val="20"/>
              </w:rPr>
              <w:t>NR</w:t>
            </w:r>
            <w:r>
              <w:rPr>
                <w:color w:val="auto"/>
                <w:sz w:val="20"/>
                <w:szCs w:val="20"/>
              </w:rPr>
              <w:t xml:space="preserve"> resource blocks adjacent to the NB-IoT PRB, and for each consecutive application of a single instance of G-FR1-A1-4 mapped to disjoint frequency ranges with a width of 106 resource blocks each.</w:t>
            </w:r>
          </w:p>
        </w:tc>
      </w:tr>
    </w:tbl>
    <w:p>
      <w:pPr>
        <w:pStyle w:val="148"/>
        <w:tabs>
          <w:tab w:val="left" w:pos="2257"/>
          <w:tab w:val="center" w:pos="4879"/>
        </w:tabs>
        <w:rPr>
          <w:rFonts w:eastAsia="Times New Roman" w:cs="Times New Roman"/>
          <w:b/>
          <w:color w:val="auto"/>
          <w:kern w:val="0"/>
          <w:sz w:val="20"/>
          <w:lang w:val="en-GB" w:eastAsia="zh-CN"/>
        </w:rPr>
      </w:pPr>
      <w:r>
        <w:rPr>
          <w:rFonts w:eastAsia="Times New Roman" w:cs="Times New Roman"/>
          <w:b/>
          <w:color w:val="auto"/>
          <w:kern w:val="0"/>
          <w:sz w:val="20"/>
          <w:lang w:val="en-GB" w:eastAsia="ja-JP"/>
        </w:rPr>
        <w:t xml:space="preserve">Table </w:t>
      </w:r>
      <w:r>
        <w:rPr>
          <w:rFonts w:hint="eastAsia" w:cs="Times New Roman"/>
          <w:b/>
          <w:color w:val="auto"/>
          <w:kern w:val="0"/>
          <w:sz w:val="20"/>
          <w:lang w:val="en-US" w:eastAsia="zh-CN"/>
        </w:rPr>
        <w:t>x</w:t>
      </w:r>
      <w:r>
        <w:rPr>
          <w:rFonts w:eastAsia="Times New Roman" w:cs="Times New Roman"/>
          <w:b/>
          <w:color w:val="auto"/>
          <w:kern w:val="0"/>
          <w:sz w:val="20"/>
          <w:lang w:val="en-GB" w:eastAsia="ja-JP"/>
        </w:rPr>
        <w:t>: NB-IoT BS Perfor</w:t>
      </w:r>
      <w:r>
        <w:rPr>
          <w:rFonts w:eastAsia="Times New Roman" w:cs="Times New Roman"/>
          <w:b/>
          <w:bCs w:val="0"/>
          <w:color w:val="auto"/>
          <w:kern w:val="0"/>
          <w:sz w:val="20"/>
          <w:lang w:val="en-GB" w:eastAsia="ja-JP"/>
        </w:rPr>
        <w:t xml:space="preserve">mance criteria </w:t>
      </w:r>
      <w:r>
        <w:rPr>
          <w:rFonts w:eastAsia="Times New Roman" w:cs="Times New Roman"/>
          <w:b/>
          <w:bCs w:val="0"/>
          <w:color w:val="auto"/>
          <w:kern w:val="0"/>
          <w:sz w:val="20"/>
          <w:lang w:eastAsia="ja-JP"/>
        </w:rPr>
        <w:t xml:space="preserve">for continuous phenomena </w:t>
      </w:r>
      <w:r>
        <w:rPr>
          <w:rFonts w:eastAsia="Times New Roman" w:cs="Times New Roman"/>
          <w:b/>
          <w:bCs w:val="0"/>
          <w:color w:val="auto"/>
          <w:kern w:val="0"/>
          <w:sz w:val="20"/>
          <w:lang w:val="en-GB" w:eastAsia="ja-JP"/>
        </w:rPr>
        <w:t>for B</w:t>
      </w:r>
      <w:r>
        <w:rPr>
          <w:rFonts w:eastAsia="Times New Roman" w:cs="Times New Roman"/>
          <w:b/>
          <w:color w:val="auto"/>
          <w:kern w:val="0"/>
          <w:sz w:val="20"/>
          <w:lang w:val="en-GB" w:eastAsia="ja-JP"/>
        </w:rPr>
        <w:t>S</w:t>
      </w:r>
    </w:p>
    <w:tbl>
      <w:tblPr>
        <w:tblStyle w:val="7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7"/>
        <w:gridCol w:w="1937"/>
        <w:gridCol w:w="2813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217" w:type="dxa"/>
          </w:tcPr>
          <w:p>
            <w:pPr>
              <w:pStyle w:val="199"/>
              <w:rPr>
                <w:rFonts w:hint="eastAsia" w:cs="Arial"/>
                <w:color w:val="auto"/>
                <w:sz w:val="20"/>
                <w:szCs w:val="20"/>
                <w:lang w:val="it-IT" w:eastAsia="ja-JP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NR c</w:t>
            </w:r>
            <w:r>
              <w:rPr>
                <w:rFonts w:hint="eastAsia" w:cs="Arial"/>
                <w:color w:val="auto"/>
                <w:sz w:val="20"/>
                <w:szCs w:val="20"/>
                <w:lang w:val="it-IT" w:eastAsia="zh-CN"/>
              </w:rPr>
              <w:t xml:space="preserve">hannel 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hint="eastAsia" w:cs="Arial"/>
                <w:color w:val="auto"/>
                <w:sz w:val="20"/>
                <w:szCs w:val="20"/>
                <w:lang w:val="it-IT" w:eastAsia="zh-CN"/>
              </w:rPr>
              <w:t>andwidth (MHz)</w:t>
            </w:r>
          </w:p>
        </w:tc>
        <w:tc>
          <w:tcPr>
            <w:tcW w:w="1937" w:type="dxa"/>
          </w:tcPr>
          <w:p>
            <w:pPr>
              <w:pStyle w:val="199"/>
              <w:rPr>
                <w:rFonts w:hint="eastAsia" w:cs="Arial"/>
                <w:color w:val="auto"/>
                <w:sz w:val="20"/>
                <w:szCs w:val="20"/>
                <w:lang w:val="it-IT" w:eastAsia="ja-JP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Sub-carrier spacing (kHz)</w:t>
            </w:r>
          </w:p>
        </w:tc>
        <w:tc>
          <w:tcPr>
            <w:tcW w:w="2813" w:type="dxa"/>
          </w:tcPr>
          <w:p>
            <w:pPr>
              <w:pStyle w:val="199"/>
              <w:rPr>
                <w:rFonts w:hint="eastAsia" w:cs="Arial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ja-JP"/>
              </w:rPr>
              <w:t>Bearer Information Data Rate</w:t>
            </w:r>
          </w:p>
        </w:tc>
        <w:tc>
          <w:tcPr>
            <w:tcW w:w="2100" w:type="dxa"/>
          </w:tcPr>
          <w:p>
            <w:pPr>
              <w:pStyle w:val="199"/>
              <w:rPr>
                <w:rFonts w:hint="eastAsia" w:cs="Arial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ja-JP"/>
              </w:rPr>
              <w:t xml:space="preserve">Performance Criteria </w:t>
            </w:r>
          </w:p>
          <w:p>
            <w:pPr>
              <w:pStyle w:val="199"/>
              <w:rPr>
                <w:rFonts w:hint="eastAsia" w:cs="Arial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(Note 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7" w:type="dxa"/>
          </w:tcPr>
          <w:p>
            <w:pPr>
              <w:pStyle w:val="200"/>
              <w:jc w:val="center"/>
              <w:rPr>
                <w:rFonts w:hint="default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  <w:t>5, 10, 15, 20, 25, 30, 40, 50</w:t>
            </w:r>
          </w:p>
        </w:tc>
        <w:tc>
          <w:tcPr>
            <w:tcW w:w="1937" w:type="dxa"/>
            <w:vAlign w:val="center"/>
          </w:tcPr>
          <w:p>
            <w:pPr>
              <w:pStyle w:val="200"/>
              <w:rPr>
                <w:rFonts w:hint="default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813" w:type="dxa"/>
            <w:vAlign w:val="center"/>
          </w:tcPr>
          <w:p>
            <w:pPr>
              <w:pStyle w:val="200"/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  <w:t xml:space="preserve">FRC A14-1 in Annex A.14 in TS 36.104 </w:t>
            </w: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  <w:t>[6</w:t>
            </w: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  <w:t>]</w:t>
            </w:r>
          </w:p>
        </w:tc>
        <w:tc>
          <w:tcPr>
            <w:tcW w:w="2100" w:type="dxa"/>
            <w:tcBorders>
              <w:bottom w:val="nil"/>
            </w:tcBorders>
            <w:vAlign w:val="top"/>
          </w:tcPr>
          <w:p>
            <w:pPr>
              <w:pStyle w:val="20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Throughput &gt; 95 %</w:t>
            </w:r>
            <w:r>
              <w:rPr>
                <w:rFonts w:hint="eastAsia" w:cs="Arial"/>
                <w:color w:val="auto"/>
                <w:sz w:val="20"/>
                <w:szCs w:val="20"/>
                <w:lang w:val="en-US" w:eastAsia="zh-CN"/>
              </w:rPr>
              <w:t>,</w:t>
            </w:r>
          </w:p>
          <w:p>
            <w:pPr>
              <w:pStyle w:val="200"/>
              <w:rPr>
                <w:rFonts w:hint="default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no loss of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7" w:type="dxa"/>
          </w:tcPr>
          <w:p>
            <w:pPr>
              <w:pStyle w:val="200"/>
              <w:jc w:val="center"/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  <w:t>5, 10, 15, 20, 25, 30, 40, 50</w:t>
            </w:r>
          </w:p>
        </w:tc>
        <w:tc>
          <w:tcPr>
            <w:tcW w:w="1937" w:type="dxa"/>
            <w:vAlign w:val="center"/>
          </w:tcPr>
          <w:p>
            <w:pPr>
              <w:pStyle w:val="200"/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813" w:type="dxa"/>
            <w:vAlign w:val="center"/>
          </w:tcPr>
          <w:p>
            <w:pPr>
              <w:pStyle w:val="200"/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  <w:t>FRC A14-2 in Annex A.14 in TS 36.104 [</w:t>
            </w: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  <w:t>]</w:t>
            </w:r>
          </w:p>
        </w:tc>
        <w:tc>
          <w:tcPr>
            <w:tcW w:w="2100" w:type="dxa"/>
            <w:tcBorders>
              <w:top w:val="nil"/>
            </w:tcBorders>
            <w:vAlign w:val="top"/>
          </w:tcPr>
          <w:p>
            <w:pPr>
              <w:pStyle w:val="200"/>
              <w:rPr>
                <w:rFonts w:hint="eastAsia" w:eastAsia="Times New Roman" w:cs="Arial"/>
                <w:color w:val="auto"/>
                <w:kern w:val="0"/>
                <w:sz w:val="20"/>
                <w:szCs w:val="20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7" w:type="dxa"/>
            <w:gridSpan w:val="4"/>
          </w:tcPr>
          <w:p>
            <w:pPr>
              <w:pStyle w:val="17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NOTE 1:</w:t>
            </w:r>
            <w:r>
              <w:rPr>
                <w:color w:val="auto"/>
                <w:sz w:val="20"/>
                <w:szCs w:val="20"/>
              </w:rPr>
              <w:tab/>
            </w:r>
            <w:r>
              <w:rPr>
                <w:color w:val="auto"/>
                <w:sz w:val="20"/>
                <w:szCs w:val="20"/>
              </w:rPr>
              <w:t xml:space="preserve">The performance criteria, throughput </w:t>
            </w:r>
            <w:r>
              <w:rPr>
                <w:rFonts w:cs="Arial"/>
                <w:color w:val="auto"/>
                <w:sz w:val="20"/>
                <w:szCs w:val="20"/>
              </w:rPr>
              <w:t>&gt; 95 %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no loss of service</w:t>
            </w:r>
            <w:r>
              <w:rPr>
                <w:color w:val="auto"/>
                <w:sz w:val="20"/>
                <w:szCs w:val="20"/>
              </w:rPr>
              <w:t>, applies also if a bearer with another characteristics is used in the test.</w:t>
            </w:r>
          </w:p>
          <w:p>
            <w:pPr>
              <w:pStyle w:val="200"/>
              <w:ind w:left="900" w:hanging="1000" w:hangingChars="500"/>
              <w:jc w:val="both"/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  <w:t>NOTE 2:</w:t>
            </w:r>
            <w:r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  <w:t>The performance criteria, throughput &gt; 9</w:t>
            </w:r>
            <w:r>
              <w:rPr>
                <w:rFonts w:hint="eastAsia" w:ascii="Arial" w:hAnsi="Arial" w:eastAsia="Times New Roman" w:cs="Times New Roman"/>
                <w:color w:val="auto"/>
                <w:sz w:val="20"/>
                <w:szCs w:val="20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  <w:t xml:space="preserve"> %,</w:t>
            </w:r>
            <w:r>
              <w:rPr>
                <w:rFonts w:hint="eastAsia" w:ascii="Arial" w:hAnsi="Arial" w:eastAsia="Times New Roman" w:cs="Times New Roman"/>
                <w:color w:val="auto"/>
                <w:sz w:val="20"/>
                <w:szCs w:val="20"/>
                <w:lang w:val="en-US" w:eastAsia="zh-CN" w:bidi="ar-SA"/>
              </w:rPr>
              <w:t xml:space="preserve"> no loss of service</w:t>
            </w:r>
            <w:r>
              <w:rPr>
                <w:rFonts w:ascii="Arial" w:hAnsi="Arial" w:eastAsia="Times New Roman" w:cs="Times New Roman"/>
                <w:color w:val="auto"/>
                <w:sz w:val="20"/>
                <w:szCs w:val="20"/>
                <w:lang w:val="en-GB" w:eastAsia="en-US" w:bidi="ar-SA"/>
              </w:rPr>
              <w:t>, applies instead if the uplink and downlink paths are evaluated as a one loop.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"/>
        <w:numPr>
          <w:ilvl w:val="0"/>
          <w:numId w:val="11"/>
        </w:numP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</w:pPr>
      <w: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  <w:t>Conclusion</w:t>
      </w:r>
    </w:p>
    <w:p>
      <w:pPr>
        <w:bidi w:val="0"/>
        <w:ind w:firstLine="0" w:firstLineChars="0"/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bookmarkStart w:id="17" w:name="OLE_LINK1"/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Our observations and proposal for 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requirement of NB-IoT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are listed as below: </w:t>
      </w:r>
    </w:p>
    <w:p>
      <w:pPr>
        <w:bidi w:val="0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/>
          <w:bCs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Observation 1: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requirements of NB-IoT have already been included in TS 36.113 and TS 37.113, where the RF requirement and test requirement/configuration are from the TS 36.104 and TS 36.141, respectively.</w:t>
      </w:r>
    </w:p>
    <w:p>
      <w:pPr>
        <w:bidi w:val="0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/>
          <w:bCs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Observation 2: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requirements of NB-IoT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operation in NR in-band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have already been included in</w:t>
      </w:r>
      <w:r>
        <w:rPr>
          <w:rFonts w:hint="eastAsia" w:eastAsia="宋体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NR BS RF and conformance test specification </w:t>
      </w:r>
      <w:r>
        <w:rPr>
          <w:rFonts w:hint="eastAsia" w:eastAsia="宋体"/>
          <w:i w:val="0"/>
          <w:iCs w:val="0"/>
          <w:color w:val="auto"/>
          <w:sz w:val="20"/>
          <w:szCs w:val="20"/>
          <w:u w:val="none"/>
          <w:lang w:val="en-US" w:eastAsia="zh-CN"/>
        </w:rPr>
        <w:t>TS 38.104 and TS 38.141-1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.</w:t>
      </w:r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</w:p>
    <w:p>
      <w:pPr>
        <w:bidi w:val="0"/>
        <w:ind w:left="0" w:firstLine="0" w:firstLineChars="0"/>
        <w:rPr>
          <w:rFonts w:hint="eastAsia" w:eastAsia="宋体"/>
          <w:color w:val="auto"/>
          <w:sz w:val="20"/>
          <w:szCs w:val="20"/>
          <w:lang w:val="en-US" w:eastAsia="zh-CN"/>
        </w:rPr>
      </w:pPr>
      <w:bookmarkStart w:id="18" w:name="OLE_LINK10"/>
      <w:r>
        <w:rPr>
          <w:rFonts w:hint="eastAsia" w:eastAsia="宋体"/>
          <w:b/>
          <w:bCs w:val="0"/>
          <w:i w:val="0"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Proposal 1: </w:t>
      </w:r>
      <w:bookmarkEnd w:id="17"/>
      <w:r>
        <w:rPr>
          <w:rFonts w:hint="eastAsia" w:eastAsia="宋体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requirement of </w:t>
      </w:r>
      <w:bookmarkStart w:id="19" w:name="OLE_LINK14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NB-IoT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>operation in NR in-band</w:t>
      </w:r>
      <w:bookmarkEnd w:id="19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 should be added in NR BS EMC specification TS 38.113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.</w:t>
      </w:r>
    </w:p>
    <w:p>
      <w:pPr>
        <w:bidi w:val="0"/>
        <w:ind w:left="0" w:firstLine="0" w:firstLine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In addition, the companion CRs to add 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NB-IoT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operation in NR in-band in TS 38.113 [1] 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can be found in [8][9].</w:t>
      </w:r>
    </w:p>
    <w:bookmarkEnd w:id="18"/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bookmarkEnd w:id="8"/>
    <w:p>
      <w:pPr>
        <w:numPr>
          <w:ilvl w:val="0"/>
          <w:numId w:val="12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3GPP TS 38.113: </w:t>
      </w:r>
      <w:r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  <w:t>“</w:t>
      </w: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NR; 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Base Station (BS) ElectroMagnetic Compatibility (EMC)</w:t>
      </w:r>
      <w:r>
        <w:rPr>
          <w:rFonts w:hint="default" w:cs="Times New Roman"/>
          <w:color w:val="auto"/>
          <w:sz w:val="20"/>
          <w:szCs w:val="20"/>
          <w:lang w:val="en-US" w:eastAsia="zh-CN"/>
        </w:rPr>
        <w:t>”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.</w:t>
      </w:r>
    </w:p>
    <w:p>
      <w:pPr>
        <w:numPr>
          <w:ilvl w:val="0"/>
          <w:numId w:val="12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3GPP TS 38.104: "NR; Base Station (BS) radio transmission and reception".</w:t>
      </w:r>
    </w:p>
    <w:p>
      <w:pPr>
        <w:numPr>
          <w:ilvl w:val="0"/>
          <w:numId w:val="12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3GPP TS 38.141-1: "NR; Base Station (BS) conformance testing Part 1: Co</w:t>
      </w:r>
      <w:bookmarkStart w:id="20" w:name="_GoBack"/>
      <w:bookmarkEnd w:id="20"/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nducted conformance testing".</w:t>
      </w:r>
    </w:p>
    <w:p>
      <w:pPr>
        <w:numPr>
          <w:ilvl w:val="0"/>
          <w:numId w:val="12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3GPP TS 3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.113: "Evolved Universal Terrestrial Radio Access (E-UTRA);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Base Station (BS) and repeater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ElectroMagnetic Compatibility (EMC)".</w:t>
      </w:r>
    </w:p>
    <w:p>
      <w:pPr>
        <w:numPr>
          <w:ilvl w:val="0"/>
          <w:numId w:val="12"/>
        </w:numP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3GPP TS 37.113: "E-UTRA, UTRA and GSM/EDGE; Multi-Standard Radio (MSR) Base Station (BS) Electromagnetic Compatibility (EMC)".</w:t>
      </w:r>
    </w:p>
    <w:p>
      <w:pPr>
        <w:numPr>
          <w:ilvl w:val="0"/>
          <w:numId w:val="12"/>
        </w:numP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3GPP TS 3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6.104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 xml:space="preserve">: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“Evolved Universal Terrestrial Radio Access (E-UTRA);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Base Station (BS) radio transmission and reception”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after="180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[7]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>3GPP TS 3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6.141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  <w:t xml:space="preserve">: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“Evolved Universal Terrestrial Radio Access (E-UTRA);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Base Station (BS) conformance testing”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[8] R4-2212606: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“</w:t>
      </w:r>
      <w:r>
        <w:rPr>
          <w:rFonts w:hint="eastAsia" w:eastAsia="宋体" w:cs="Arial"/>
          <w:lang w:val="en-US" w:eastAsia="zh-CN"/>
        </w:rPr>
        <w:t>Draft CR for supplement of the requirement of NB-IoT in TS 38.113</w:t>
      </w:r>
      <w:r>
        <w:rPr>
          <w:rFonts w:hint="eastAsia"/>
          <w:lang w:val="en-US" w:eastAsia="zh-CN"/>
        </w:rPr>
        <w:t xml:space="preserve"> (R16)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[9] 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R4-2212607: 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“</w:t>
      </w:r>
      <w:r>
        <w:rPr>
          <w:rFonts w:hint="eastAsia" w:eastAsia="宋体" w:cs="Arial"/>
          <w:lang w:val="en-US" w:eastAsia="zh-CN"/>
        </w:rPr>
        <w:t>Draft CR for supplement of the requirement of NB-IoT in TS 38.113</w:t>
      </w:r>
      <w:r>
        <w:rPr>
          <w:rFonts w:hint="eastAsia"/>
          <w:lang w:val="en-US" w:eastAsia="zh-CN"/>
        </w:rPr>
        <w:t xml:space="preserve"> (R17)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spacing w:after="180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spacing w:after="180"/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38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88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4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0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5E3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4F3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7C2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5E2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E5C47"/>
    <w:rsid w:val="014C3CC4"/>
    <w:rsid w:val="014D51D2"/>
    <w:rsid w:val="016B6B22"/>
    <w:rsid w:val="01885236"/>
    <w:rsid w:val="018C59FB"/>
    <w:rsid w:val="019C3B9A"/>
    <w:rsid w:val="01CC77C8"/>
    <w:rsid w:val="01D36C5D"/>
    <w:rsid w:val="01F330D1"/>
    <w:rsid w:val="020172B6"/>
    <w:rsid w:val="0222694D"/>
    <w:rsid w:val="02274170"/>
    <w:rsid w:val="02465A49"/>
    <w:rsid w:val="025746B9"/>
    <w:rsid w:val="025E490B"/>
    <w:rsid w:val="02A433D2"/>
    <w:rsid w:val="02AF1E84"/>
    <w:rsid w:val="02B1452C"/>
    <w:rsid w:val="02B1756B"/>
    <w:rsid w:val="02C83673"/>
    <w:rsid w:val="02DA193A"/>
    <w:rsid w:val="03025A44"/>
    <w:rsid w:val="03154FEA"/>
    <w:rsid w:val="031E0246"/>
    <w:rsid w:val="03353DE1"/>
    <w:rsid w:val="03396ABE"/>
    <w:rsid w:val="034A3B7F"/>
    <w:rsid w:val="034E5CB1"/>
    <w:rsid w:val="0397623F"/>
    <w:rsid w:val="039C165A"/>
    <w:rsid w:val="03B25159"/>
    <w:rsid w:val="03B434C5"/>
    <w:rsid w:val="03C947AC"/>
    <w:rsid w:val="03CA3227"/>
    <w:rsid w:val="03D463D3"/>
    <w:rsid w:val="03D96257"/>
    <w:rsid w:val="041419C6"/>
    <w:rsid w:val="041C7390"/>
    <w:rsid w:val="04523CE4"/>
    <w:rsid w:val="045862CA"/>
    <w:rsid w:val="047A2EAB"/>
    <w:rsid w:val="048C53A5"/>
    <w:rsid w:val="049B760B"/>
    <w:rsid w:val="04BC3811"/>
    <w:rsid w:val="04D60E7B"/>
    <w:rsid w:val="04E75F8D"/>
    <w:rsid w:val="04EE7DD5"/>
    <w:rsid w:val="04F5217B"/>
    <w:rsid w:val="04FC6E08"/>
    <w:rsid w:val="04FD3D9C"/>
    <w:rsid w:val="051762D5"/>
    <w:rsid w:val="0528285F"/>
    <w:rsid w:val="053513EA"/>
    <w:rsid w:val="0535306B"/>
    <w:rsid w:val="053B103A"/>
    <w:rsid w:val="053F1BC2"/>
    <w:rsid w:val="055D4C1C"/>
    <w:rsid w:val="058900C1"/>
    <w:rsid w:val="058B2CB5"/>
    <w:rsid w:val="058F48A1"/>
    <w:rsid w:val="05A612A4"/>
    <w:rsid w:val="05B44A3A"/>
    <w:rsid w:val="05CD6034"/>
    <w:rsid w:val="06011110"/>
    <w:rsid w:val="063E0281"/>
    <w:rsid w:val="066602B0"/>
    <w:rsid w:val="06735105"/>
    <w:rsid w:val="06757493"/>
    <w:rsid w:val="06A74C45"/>
    <w:rsid w:val="06C41AD0"/>
    <w:rsid w:val="06DD6885"/>
    <w:rsid w:val="070B2DDE"/>
    <w:rsid w:val="073573B3"/>
    <w:rsid w:val="07414D78"/>
    <w:rsid w:val="0756674F"/>
    <w:rsid w:val="07615B70"/>
    <w:rsid w:val="07800437"/>
    <w:rsid w:val="07921DC8"/>
    <w:rsid w:val="07B555C6"/>
    <w:rsid w:val="07BC60B3"/>
    <w:rsid w:val="07EC78AA"/>
    <w:rsid w:val="07FE7B91"/>
    <w:rsid w:val="08031E49"/>
    <w:rsid w:val="080B51F8"/>
    <w:rsid w:val="08112D2A"/>
    <w:rsid w:val="08370E94"/>
    <w:rsid w:val="084F4159"/>
    <w:rsid w:val="085419B8"/>
    <w:rsid w:val="08772792"/>
    <w:rsid w:val="08835183"/>
    <w:rsid w:val="08A33D89"/>
    <w:rsid w:val="093B6948"/>
    <w:rsid w:val="093E77B7"/>
    <w:rsid w:val="094D4E05"/>
    <w:rsid w:val="0951414C"/>
    <w:rsid w:val="095501D1"/>
    <w:rsid w:val="095B7916"/>
    <w:rsid w:val="097E5DCA"/>
    <w:rsid w:val="099820E0"/>
    <w:rsid w:val="099F43C4"/>
    <w:rsid w:val="09B05717"/>
    <w:rsid w:val="09BF2F18"/>
    <w:rsid w:val="09EF3588"/>
    <w:rsid w:val="09F9460D"/>
    <w:rsid w:val="0A2C400A"/>
    <w:rsid w:val="0A351CFA"/>
    <w:rsid w:val="0A473D18"/>
    <w:rsid w:val="0A594152"/>
    <w:rsid w:val="0A5A0B93"/>
    <w:rsid w:val="0AA00229"/>
    <w:rsid w:val="0AA03887"/>
    <w:rsid w:val="0AA219F9"/>
    <w:rsid w:val="0AAE5C7D"/>
    <w:rsid w:val="0AB30A1E"/>
    <w:rsid w:val="0ADA1745"/>
    <w:rsid w:val="0AF82D2F"/>
    <w:rsid w:val="0AFD57EC"/>
    <w:rsid w:val="0B1038D0"/>
    <w:rsid w:val="0B136B18"/>
    <w:rsid w:val="0B362DB4"/>
    <w:rsid w:val="0B9556D2"/>
    <w:rsid w:val="0B98464D"/>
    <w:rsid w:val="0B995BF6"/>
    <w:rsid w:val="0B9F4AFA"/>
    <w:rsid w:val="0BA227C1"/>
    <w:rsid w:val="0BAE6E09"/>
    <w:rsid w:val="0BB5088E"/>
    <w:rsid w:val="0BC64F1A"/>
    <w:rsid w:val="0BCB5E5C"/>
    <w:rsid w:val="0BD001E5"/>
    <w:rsid w:val="0C227075"/>
    <w:rsid w:val="0C4026C7"/>
    <w:rsid w:val="0C420C93"/>
    <w:rsid w:val="0C4F43EF"/>
    <w:rsid w:val="0C5B0E64"/>
    <w:rsid w:val="0C707397"/>
    <w:rsid w:val="0CAA7DAA"/>
    <w:rsid w:val="0CAC1A2E"/>
    <w:rsid w:val="0CB235F8"/>
    <w:rsid w:val="0CBA1B7C"/>
    <w:rsid w:val="0CD034B7"/>
    <w:rsid w:val="0CE71A3D"/>
    <w:rsid w:val="0CF15BB9"/>
    <w:rsid w:val="0D0E03B3"/>
    <w:rsid w:val="0D28062D"/>
    <w:rsid w:val="0D464799"/>
    <w:rsid w:val="0D5B6307"/>
    <w:rsid w:val="0D932ABC"/>
    <w:rsid w:val="0DB52144"/>
    <w:rsid w:val="0DC075D8"/>
    <w:rsid w:val="0DDD16AB"/>
    <w:rsid w:val="0DEC1FAE"/>
    <w:rsid w:val="0E0877DD"/>
    <w:rsid w:val="0E245631"/>
    <w:rsid w:val="0E2A2E5E"/>
    <w:rsid w:val="0E4B2720"/>
    <w:rsid w:val="0E614B6D"/>
    <w:rsid w:val="0E6C5826"/>
    <w:rsid w:val="0E742336"/>
    <w:rsid w:val="0E742D2B"/>
    <w:rsid w:val="0E8E1FE9"/>
    <w:rsid w:val="0E9F06E1"/>
    <w:rsid w:val="0EA31998"/>
    <w:rsid w:val="0EB33BB4"/>
    <w:rsid w:val="0ED93D9B"/>
    <w:rsid w:val="0EE64C7B"/>
    <w:rsid w:val="0EF861E8"/>
    <w:rsid w:val="0EF975F9"/>
    <w:rsid w:val="0F2002F6"/>
    <w:rsid w:val="0F24342D"/>
    <w:rsid w:val="0F396589"/>
    <w:rsid w:val="0F6627AB"/>
    <w:rsid w:val="0F6709CB"/>
    <w:rsid w:val="0F7920A6"/>
    <w:rsid w:val="0F8C18A3"/>
    <w:rsid w:val="0F935827"/>
    <w:rsid w:val="0FA336D9"/>
    <w:rsid w:val="0FD16E16"/>
    <w:rsid w:val="10035232"/>
    <w:rsid w:val="10154FBC"/>
    <w:rsid w:val="103C30D1"/>
    <w:rsid w:val="105821AB"/>
    <w:rsid w:val="10627389"/>
    <w:rsid w:val="1084100D"/>
    <w:rsid w:val="10910C35"/>
    <w:rsid w:val="10AB2EF5"/>
    <w:rsid w:val="10D92C89"/>
    <w:rsid w:val="10DC3D04"/>
    <w:rsid w:val="10E8572B"/>
    <w:rsid w:val="10F541D3"/>
    <w:rsid w:val="11217AFA"/>
    <w:rsid w:val="114505E0"/>
    <w:rsid w:val="11535686"/>
    <w:rsid w:val="116C31FF"/>
    <w:rsid w:val="117B5D58"/>
    <w:rsid w:val="1183717D"/>
    <w:rsid w:val="11A44CE5"/>
    <w:rsid w:val="11A7718A"/>
    <w:rsid w:val="11A93B86"/>
    <w:rsid w:val="11AD61DB"/>
    <w:rsid w:val="11CE6E18"/>
    <w:rsid w:val="11DE1DBC"/>
    <w:rsid w:val="12013927"/>
    <w:rsid w:val="12026C68"/>
    <w:rsid w:val="122C66D4"/>
    <w:rsid w:val="12471E32"/>
    <w:rsid w:val="12485895"/>
    <w:rsid w:val="124A1819"/>
    <w:rsid w:val="124D773B"/>
    <w:rsid w:val="126167F9"/>
    <w:rsid w:val="126B0899"/>
    <w:rsid w:val="128E1AEE"/>
    <w:rsid w:val="128E3FEF"/>
    <w:rsid w:val="12925C25"/>
    <w:rsid w:val="12AF264A"/>
    <w:rsid w:val="12B814C4"/>
    <w:rsid w:val="12BC501F"/>
    <w:rsid w:val="12C1294C"/>
    <w:rsid w:val="12DB15AA"/>
    <w:rsid w:val="13131FEF"/>
    <w:rsid w:val="131B35FD"/>
    <w:rsid w:val="133763C2"/>
    <w:rsid w:val="133B1420"/>
    <w:rsid w:val="13413F55"/>
    <w:rsid w:val="134514D1"/>
    <w:rsid w:val="135717FB"/>
    <w:rsid w:val="1378592D"/>
    <w:rsid w:val="13855BC1"/>
    <w:rsid w:val="138761D5"/>
    <w:rsid w:val="13972075"/>
    <w:rsid w:val="13A252DC"/>
    <w:rsid w:val="13BD06AD"/>
    <w:rsid w:val="13BE76B6"/>
    <w:rsid w:val="13C73401"/>
    <w:rsid w:val="13E61845"/>
    <w:rsid w:val="13EB0DCB"/>
    <w:rsid w:val="13F625A1"/>
    <w:rsid w:val="14031E43"/>
    <w:rsid w:val="14052EE5"/>
    <w:rsid w:val="140C716C"/>
    <w:rsid w:val="141223CC"/>
    <w:rsid w:val="14137036"/>
    <w:rsid w:val="1434158C"/>
    <w:rsid w:val="143524DC"/>
    <w:rsid w:val="143E4F03"/>
    <w:rsid w:val="145469D2"/>
    <w:rsid w:val="14A07DB7"/>
    <w:rsid w:val="14A46D71"/>
    <w:rsid w:val="14A73036"/>
    <w:rsid w:val="14BA5592"/>
    <w:rsid w:val="14D90446"/>
    <w:rsid w:val="14DE041D"/>
    <w:rsid w:val="14E2002C"/>
    <w:rsid w:val="14EE3E38"/>
    <w:rsid w:val="15181488"/>
    <w:rsid w:val="153450BB"/>
    <w:rsid w:val="154B6600"/>
    <w:rsid w:val="15615AC6"/>
    <w:rsid w:val="15622587"/>
    <w:rsid w:val="15850910"/>
    <w:rsid w:val="158D1AA1"/>
    <w:rsid w:val="159464B8"/>
    <w:rsid w:val="15AE3DF3"/>
    <w:rsid w:val="15B73650"/>
    <w:rsid w:val="15DE5680"/>
    <w:rsid w:val="15F700B5"/>
    <w:rsid w:val="15FB3901"/>
    <w:rsid w:val="15FC0384"/>
    <w:rsid w:val="1600072A"/>
    <w:rsid w:val="160306F7"/>
    <w:rsid w:val="162B4916"/>
    <w:rsid w:val="16464904"/>
    <w:rsid w:val="16605EE4"/>
    <w:rsid w:val="166D1342"/>
    <w:rsid w:val="16777A5E"/>
    <w:rsid w:val="168D55EB"/>
    <w:rsid w:val="16901A13"/>
    <w:rsid w:val="16A03ED1"/>
    <w:rsid w:val="16C86978"/>
    <w:rsid w:val="16FA1B8D"/>
    <w:rsid w:val="17115C81"/>
    <w:rsid w:val="174F4612"/>
    <w:rsid w:val="177237EC"/>
    <w:rsid w:val="177F79AB"/>
    <w:rsid w:val="178A30B7"/>
    <w:rsid w:val="178F1BEE"/>
    <w:rsid w:val="1798381E"/>
    <w:rsid w:val="17A3595A"/>
    <w:rsid w:val="18257823"/>
    <w:rsid w:val="183750C3"/>
    <w:rsid w:val="183A07A8"/>
    <w:rsid w:val="1857551B"/>
    <w:rsid w:val="187B73E2"/>
    <w:rsid w:val="188A1C24"/>
    <w:rsid w:val="18B04964"/>
    <w:rsid w:val="18D66C1A"/>
    <w:rsid w:val="18E113C2"/>
    <w:rsid w:val="18EB589B"/>
    <w:rsid w:val="191007E6"/>
    <w:rsid w:val="19212389"/>
    <w:rsid w:val="19382C14"/>
    <w:rsid w:val="19633794"/>
    <w:rsid w:val="19760F42"/>
    <w:rsid w:val="197D793E"/>
    <w:rsid w:val="19A83D0B"/>
    <w:rsid w:val="19BA229B"/>
    <w:rsid w:val="19BF12F9"/>
    <w:rsid w:val="19BF22DB"/>
    <w:rsid w:val="19CC576B"/>
    <w:rsid w:val="19D225E8"/>
    <w:rsid w:val="19F2171B"/>
    <w:rsid w:val="1A0126D6"/>
    <w:rsid w:val="1A0A6845"/>
    <w:rsid w:val="1A127AB9"/>
    <w:rsid w:val="1A1358FD"/>
    <w:rsid w:val="1A17092A"/>
    <w:rsid w:val="1A5449AB"/>
    <w:rsid w:val="1A5542F0"/>
    <w:rsid w:val="1A5837B6"/>
    <w:rsid w:val="1A771559"/>
    <w:rsid w:val="1A802DEB"/>
    <w:rsid w:val="1A8868E7"/>
    <w:rsid w:val="1A931C51"/>
    <w:rsid w:val="1A93399B"/>
    <w:rsid w:val="1A957650"/>
    <w:rsid w:val="1A9D6108"/>
    <w:rsid w:val="1AA37E94"/>
    <w:rsid w:val="1AB41550"/>
    <w:rsid w:val="1AB72EAB"/>
    <w:rsid w:val="1ACE1E6B"/>
    <w:rsid w:val="1AD420C5"/>
    <w:rsid w:val="1AED09AE"/>
    <w:rsid w:val="1AF35C40"/>
    <w:rsid w:val="1B017794"/>
    <w:rsid w:val="1B425A20"/>
    <w:rsid w:val="1B431600"/>
    <w:rsid w:val="1B540CF7"/>
    <w:rsid w:val="1B5E0DD9"/>
    <w:rsid w:val="1B5F305D"/>
    <w:rsid w:val="1B65312A"/>
    <w:rsid w:val="1B770010"/>
    <w:rsid w:val="1B77206A"/>
    <w:rsid w:val="1B782BCC"/>
    <w:rsid w:val="1B87436D"/>
    <w:rsid w:val="1B8B45C7"/>
    <w:rsid w:val="1B8D65BC"/>
    <w:rsid w:val="1B955FAC"/>
    <w:rsid w:val="1B9D0455"/>
    <w:rsid w:val="1BAA351E"/>
    <w:rsid w:val="1BD00420"/>
    <w:rsid w:val="1BEF69BB"/>
    <w:rsid w:val="1C0C49AC"/>
    <w:rsid w:val="1C2F5F7E"/>
    <w:rsid w:val="1C377126"/>
    <w:rsid w:val="1C477B03"/>
    <w:rsid w:val="1C6B0A33"/>
    <w:rsid w:val="1C6D61C2"/>
    <w:rsid w:val="1C944BDB"/>
    <w:rsid w:val="1CB5044D"/>
    <w:rsid w:val="1CBB1160"/>
    <w:rsid w:val="1CBF7C5A"/>
    <w:rsid w:val="1CDE0938"/>
    <w:rsid w:val="1CEB3EC8"/>
    <w:rsid w:val="1CFD64E3"/>
    <w:rsid w:val="1D0811DB"/>
    <w:rsid w:val="1D157E91"/>
    <w:rsid w:val="1D182D64"/>
    <w:rsid w:val="1D296C1D"/>
    <w:rsid w:val="1D307A08"/>
    <w:rsid w:val="1D330BC8"/>
    <w:rsid w:val="1D403120"/>
    <w:rsid w:val="1D482C64"/>
    <w:rsid w:val="1D4907BA"/>
    <w:rsid w:val="1D7242BA"/>
    <w:rsid w:val="1DD641BD"/>
    <w:rsid w:val="1DE0656D"/>
    <w:rsid w:val="1E07086F"/>
    <w:rsid w:val="1E0B3E78"/>
    <w:rsid w:val="1E1A68A6"/>
    <w:rsid w:val="1E59112A"/>
    <w:rsid w:val="1E5B07BE"/>
    <w:rsid w:val="1E5D1B24"/>
    <w:rsid w:val="1E5E6324"/>
    <w:rsid w:val="1E5F6792"/>
    <w:rsid w:val="1E63092D"/>
    <w:rsid w:val="1E9C38E2"/>
    <w:rsid w:val="1EA002EB"/>
    <w:rsid w:val="1EB15399"/>
    <w:rsid w:val="1EB52098"/>
    <w:rsid w:val="1EEC0FC8"/>
    <w:rsid w:val="1F005142"/>
    <w:rsid w:val="1F0B1B01"/>
    <w:rsid w:val="1F0F10C1"/>
    <w:rsid w:val="1F183211"/>
    <w:rsid w:val="1F1E09A9"/>
    <w:rsid w:val="1F231F96"/>
    <w:rsid w:val="1F323506"/>
    <w:rsid w:val="1F331181"/>
    <w:rsid w:val="1F5813D2"/>
    <w:rsid w:val="1F607B03"/>
    <w:rsid w:val="1F6F6C70"/>
    <w:rsid w:val="1F76472A"/>
    <w:rsid w:val="1F8C126C"/>
    <w:rsid w:val="1F975093"/>
    <w:rsid w:val="1FA1055C"/>
    <w:rsid w:val="1FAC7F66"/>
    <w:rsid w:val="1FBC7012"/>
    <w:rsid w:val="1FE40327"/>
    <w:rsid w:val="1FE45D99"/>
    <w:rsid w:val="203C7CFF"/>
    <w:rsid w:val="20435E57"/>
    <w:rsid w:val="20564B8F"/>
    <w:rsid w:val="205E0B95"/>
    <w:rsid w:val="205E374F"/>
    <w:rsid w:val="206C0477"/>
    <w:rsid w:val="207831EE"/>
    <w:rsid w:val="207C7C48"/>
    <w:rsid w:val="209A70C3"/>
    <w:rsid w:val="209D66D8"/>
    <w:rsid w:val="20A81F64"/>
    <w:rsid w:val="20BB45E6"/>
    <w:rsid w:val="20BF6983"/>
    <w:rsid w:val="20C231F3"/>
    <w:rsid w:val="20C90A33"/>
    <w:rsid w:val="20EB7145"/>
    <w:rsid w:val="210B34DD"/>
    <w:rsid w:val="213012A5"/>
    <w:rsid w:val="2148271B"/>
    <w:rsid w:val="21573226"/>
    <w:rsid w:val="216C6D4C"/>
    <w:rsid w:val="216E6661"/>
    <w:rsid w:val="21771C16"/>
    <w:rsid w:val="217C4677"/>
    <w:rsid w:val="217E29E4"/>
    <w:rsid w:val="217E6719"/>
    <w:rsid w:val="21A76E3A"/>
    <w:rsid w:val="21C71467"/>
    <w:rsid w:val="21CE0576"/>
    <w:rsid w:val="21F85958"/>
    <w:rsid w:val="221E547D"/>
    <w:rsid w:val="224225CC"/>
    <w:rsid w:val="224B545D"/>
    <w:rsid w:val="2251453E"/>
    <w:rsid w:val="225C2AA5"/>
    <w:rsid w:val="229A6C76"/>
    <w:rsid w:val="22A67883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786084"/>
    <w:rsid w:val="23A24030"/>
    <w:rsid w:val="23AE701C"/>
    <w:rsid w:val="23BB341A"/>
    <w:rsid w:val="23C3320D"/>
    <w:rsid w:val="23ED56B1"/>
    <w:rsid w:val="23FE5682"/>
    <w:rsid w:val="240E1F02"/>
    <w:rsid w:val="241C3A73"/>
    <w:rsid w:val="243704CB"/>
    <w:rsid w:val="244075D1"/>
    <w:rsid w:val="2468039D"/>
    <w:rsid w:val="247A6A08"/>
    <w:rsid w:val="24943B01"/>
    <w:rsid w:val="24B078CA"/>
    <w:rsid w:val="24BB0446"/>
    <w:rsid w:val="24BD1D2E"/>
    <w:rsid w:val="24C24A66"/>
    <w:rsid w:val="24C25475"/>
    <w:rsid w:val="24DF1CC7"/>
    <w:rsid w:val="24E22CDA"/>
    <w:rsid w:val="24EC21D5"/>
    <w:rsid w:val="24FC6EA4"/>
    <w:rsid w:val="2505287D"/>
    <w:rsid w:val="250A4E42"/>
    <w:rsid w:val="2533305C"/>
    <w:rsid w:val="253F159B"/>
    <w:rsid w:val="25686BB2"/>
    <w:rsid w:val="25977ED2"/>
    <w:rsid w:val="25A74738"/>
    <w:rsid w:val="25AD6C61"/>
    <w:rsid w:val="25B24600"/>
    <w:rsid w:val="25B60A97"/>
    <w:rsid w:val="25C4457F"/>
    <w:rsid w:val="25D31C77"/>
    <w:rsid w:val="25D41C93"/>
    <w:rsid w:val="25E23373"/>
    <w:rsid w:val="25E46C41"/>
    <w:rsid w:val="25E477B1"/>
    <w:rsid w:val="26161DDE"/>
    <w:rsid w:val="261B6A29"/>
    <w:rsid w:val="26216AA3"/>
    <w:rsid w:val="26450332"/>
    <w:rsid w:val="2667680E"/>
    <w:rsid w:val="269411A9"/>
    <w:rsid w:val="26974AD3"/>
    <w:rsid w:val="26CA54EE"/>
    <w:rsid w:val="26FC1A0C"/>
    <w:rsid w:val="270A00B0"/>
    <w:rsid w:val="27154970"/>
    <w:rsid w:val="27225C7F"/>
    <w:rsid w:val="272475EB"/>
    <w:rsid w:val="272B08C7"/>
    <w:rsid w:val="275552C8"/>
    <w:rsid w:val="275C32A8"/>
    <w:rsid w:val="275C4956"/>
    <w:rsid w:val="277A0C30"/>
    <w:rsid w:val="277B6F93"/>
    <w:rsid w:val="278B121B"/>
    <w:rsid w:val="279651AD"/>
    <w:rsid w:val="279D6589"/>
    <w:rsid w:val="27C23419"/>
    <w:rsid w:val="28117017"/>
    <w:rsid w:val="28475436"/>
    <w:rsid w:val="284E6AEC"/>
    <w:rsid w:val="285312E8"/>
    <w:rsid w:val="286D6308"/>
    <w:rsid w:val="287C5BD0"/>
    <w:rsid w:val="287D73F4"/>
    <w:rsid w:val="287E015C"/>
    <w:rsid w:val="288E5A59"/>
    <w:rsid w:val="289469B5"/>
    <w:rsid w:val="28DF589D"/>
    <w:rsid w:val="28EC15EA"/>
    <w:rsid w:val="28EE5D72"/>
    <w:rsid w:val="28F16ECE"/>
    <w:rsid w:val="28F22D27"/>
    <w:rsid w:val="29197527"/>
    <w:rsid w:val="2923202A"/>
    <w:rsid w:val="292E3601"/>
    <w:rsid w:val="293909E5"/>
    <w:rsid w:val="295824A4"/>
    <w:rsid w:val="2959682C"/>
    <w:rsid w:val="295B4666"/>
    <w:rsid w:val="295B6224"/>
    <w:rsid w:val="296C46D1"/>
    <w:rsid w:val="29881CD0"/>
    <w:rsid w:val="29CE1B1F"/>
    <w:rsid w:val="2A04072B"/>
    <w:rsid w:val="2A0E1DB2"/>
    <w:rsid w:val="2A44512A"/>
    <w:rsid w:val="2A896EA8"/>
    <w:rsid w:val="2A970FA7"/>
    <w:rsid w:val="2AA1242C"/>
    <w:rsid w:val="2AA82E0B"/>
    <w:rsid w:val="2AC61149"/>
    <w:rsid w:val="2AF82294"/>
    <w:rsid w:val="2B0D266D"/>
    <w:rsid w:val="2B287DFF"/>
    <w:rsid w:val="2B295FBC"/>
    <w:rsid w:val="2B326F9D"/>
    <w:rsid w:val="2B413CC6"/>
    <w:rsid w:val="2B494A98"/>
    <w:rsid w:val="2B5B2CB3"/>
    <w:rsid w:val="2B5F2159"/>
    <w:rsid w:val="2B87409E"/>
    <w:rsid w:val="2BA605C9"/>
    <w:rsid w:val="2BC805E5"/>
    <w:rsid w:val="2BD31970"/>
    <w:rsid w:val="2C1C09DF"/>
    <w:rsid w:val="2C2A62E5"/>
    <w:rsid w:val="2C4A6A13"/>
    <w:rsid w:val="2C4C1061"/>
    <w:rsid w:val="2C565ECC"/>
    <w:rsid w:val="2C5D2CDE"/>
    <w:rsid w:val="2C732509"/>
    <w:rsid w:val="2CA877B4"/>
    <w:rsid w:val="2CE357A6"/>
    <w:rsid w:val="2CF94F3A"/>
    <w:rsid w:val="2CFD21AB"/>
    <w:rsid w:val="2D044A62"/>
    <w:rsid w:val="2D11435D"/>
    <w:rsid w:val="2D1616BB"/>
    <w:rsid w:val="2D356C02"/>
    <w:rsid w:val="2D4A1E5E"/>
    <w:rsid w:val="2D6C4311"/>
    <w:rsid w:val="2D75565E"/>
    <w:rsid w:val="2D95555E"/>
    <w:rsid w:val="2DA428AB"/>
    <w:rsid w:val="2DA53A09"/>
    <w:rsid w:val="2DAD0E30"/>
    <w:rsid w:val="2DC64F86"/>
    <w:rsid w:val="2DE55694"/>
    <w:rsid w:val="2DF53694"/>
    <w:rsid w:val="2E1E38A5"/>
    <w:rsid w:val="2E2B03BD"/>
    <w:rsid w:val="2E3C7CE1"/>
    <w:rsid w:val="2E624B86"/>
    <w:rsid w:val="2E631460"/>
    <w:rsid w:val="2E8F0FAC"/>
    <w:rsid w:val="2E8F4CEC"/>
    <w:rsid w:val="2E935D9F"/>
    <w:rsid w:val="2E991ECF"/>
    <w:rsid w:val="2EA27B47"/>
    <w:rsid w:val="2EC62A2E"/>
    <w:rsid w:val="2ECD5827"/>
    <w:rsid w:val="2EDB2014"/>
    <w:rsid w:val="2EF121AC"/>
    <w:rsid w:val="2EF4326C"/>
    <w:rsid w:val="2EFD002C"/>
    <w:rsid w:val="2F06318E"/>
    <w:rsid w:val="2F0E6118"/>
    <w:rsid w:val="2F0E7CC5"/>
    <w:rsid w:val="2F282AFF"/>
    <w:rsid w:val="2F340377"/>
    <w:rsid w:val="2F5423DE"/>
    <w:rsid w:val="2F687A02"/>
    <w:rsid w:val="2F7C09C4"/>
    <w:rsid w:val="2F872561"/>
    <w:rsid w:val="2F923FD4"/>
    <w:rsid w:val="2FCF4347"/>
    <w:rsid w:val="2FF01677"/>
    <w:rsid w:val="2FFB7141"/>
    <w:rsid w:val="300C111F"/>
    <w:rsid w:val="30134E24"/>
    <w:rsid w:val="3032576D"/>
    <w:rsid w:val="307E15D8"/>
    <w:rsid w:val="308309AF"/>
    <w:rsid w:val="30B605A9"/>
    <w:rsid w:val="30C1399F"/>
    <w:rsid w:val="30F821AD"/>
    <w:rsid w:val="31261746"/>
    <w:rsid w:val="31335DD2"/>
    <w:rsid w:val="31405674"/>
    <w:rsid w:val="31446B25"/>
    <w:rsid w:val="31477764"/>
    <w:rsid w:val="314F23D4"/>
    <w:rsid w:val="3151631B"/>
    <w:rsid w:val="316A6253"/>
    <w:rsid w:val="316C08B1"/>
    <w:rsid w:val="31762346"/>
    <w:rsid w:val="31773806"/>
    <w:rsid w:val="3191451F"/>
    <w:rsid w:val="31964863"/>
    <w:rsid w:val="31CA487C"/>
    <w:rsid w:val="31D744B1"/>
    <w:rsid w:val="31E74291"/>
    <w:rsid w:val="31E8537D"/>
    <w:rsid w:val="31EA0882"/>
    <w:rsid w:val="31F63E52"/>
    <w:rsid w:val="32081055"/>
    <w:rsid w:val="321108FB"/>
    <w:rsid w:val="32226C83"/>
    <w:rsid w:val="322B7F9E"/>
    <w:rsid w:val="324D685D"/>
    <w:rsid w:val="32630EC2"/>
    <w:rsid w:val="326F2D7A"/>
    <w:rsid w:val="327F2A46"/>
    <w:rsid w:val="327F7691"/>
    <w:rsid w:val="32930BB9"/>
    <w:rsid w:val="32A5395B"/>
    <w:rsid w:val="32B0050B"/>
    <w:rsid w:val="32B51610"/>
    <w:rsid w:val="32B9548C"/>
    <w:rsid w:val="32DC36E2"/>
    <w:rsid w:val="331A0CC7"/>
    <w:rsid w:val="33354322"/>
    <w:rsid w:val="338031A5"/>
    <w:rsid w:val="339307A2"/>
    <w:rsid w:val="339665CD"/>
    <w:rsid w:val="339C0014"/>
    <w:rsid w:val="33BE3660"/>
    <w:rsid w:val="33FB1A28"/>
    <w:rsid w:val="34325EA0"/>
    <w:rsid w:val="3438793E"/>
    <w:rsid w:val="34424290"/>
    <w:rsid w:val="344D0AC3"/>
    <w:rsid w:val="344E624C"/>
    <w:rsid w:val="34664FDF"/>
    <w:rsid w:val="346A1556"/>
    <w:rsid w:val="347C0312"/>
    <w:rsid w:val="34953EE2"/>
    <w:rsid w:val="34C6674C"/>
    <w:rsid w:val="35167971"/>
    <w:rsid w:val="351F4486"/>
    <w:rsid w:val="354B7BB1"/>
    <w:rsid w:val="355E6559"/>
    <w:rsid w:val="357A4556"/>
    <w:rsid w:val="358B134C"/>
    <w:rsid w:val="35923849"/>
    <w:rsid w:val="35A934BB"/>
    <w:rsid w:val="35B3649E"/>
    <w:rsid w:val="35B9327F"/>
    <w:rsid w:val="35C8326A"/>
    <w:rsid w:val="35DB0DFA"/>
    <w:rsid w:val="35F22B0C"/>
    <w:rsid w:val="35FD451B"/>
    <w:rsid w:val="36006ABE"/>
    <w:rsid w:val="3608292D"/>
    <w:rsid w:val="3611044F"/>
    <w:rsid w:val="36134BEB"/>
    <w:rsid w:val="36330B76"/>
    <w:rsid w:val="363E4AFE"/>
    <w:rsid w:val="364D759C"/>
    <w:rsid w:val="364E609E"/>
    <w:rsid w:val="366D7325"/>
    <w:rsid w:val="3676645A"/>
    <w:rsid w:val="368422A8"/>
    <w:rsid w:val="368911D1"/>
    <w:rsid w:val="369D0300"/>
    <w:rsid w:val="36A078B4"/>
    <w:rsid w:val="36B06E76"/>
    <w:rsid w:val="36EE0F65"/>
    <w:rsid w:val="37081B00"/>
    <w:rsid w:val="370E459D"/>
    <w:rsid w:val="371F47DC"/>
    <w:rsid w:val="37306623"/>
    <w:rsid w:val="37386CB2"/>
    <w:rsid w:val="37651380"/>
    <w:rsid w:val="37661B95"/>
    <w:rsid w:val="37855D26"/>
    <w:rsid w:val="379936AF"/>
    <w:rsid w:val="379F4ED0"/>
    <w:rsid w:val="37B96AC5"/>
    <w:rsid w:val="37F820D5"/>
    <w:rsid w:val="38301361"/>
    <w:rsid w:val="383A42AC"/>
    <w:rsid w:val="384946D4"/>
    <w:rsid w:val="385D639B"/>
    <w:rsid w:val="38883346"/>
    <w:rsid w:val="388E5B62"/>
    <w:rsid w:val="38965B97"/>
    <w:rsid w:val="38AB710B"/>
    <w:rsid w:val="38E93304"/>
    <w:rsid w:val="38EC4534"/>
    <w:rsid w:val="3920696A"/>
    <w:rsid w:val="39250114"/>
    <w:rsid w:val="3928228C"/>
    <w:rsid w:val="393A2F9C"/>
    <w:rsid w:val="39403002"/>
    <w:rsid w:val="39565449"/>
    <w:rsid w:val="39BF74EB"/>
    <w:rsid w:val="39C84EE9"/>
    <w:rsid w:val="39E6409E"/>
    <w:rsid w:val="39F05659"/>
    <w:rsid w:val="39F64593"/>
    <w:rsid w:val="39F80570"/>
    <w:rsid w:val="39FB2704"/>
    <w:rsid w:val="39FD1350"/>
    <w:rsid w:val="3A08110C"/>
    <w:rsid w:val="3A103069"/>
    <w:rsid w:val="3A11279D"/>
    <w:rsid w:val="3A325132"/>
    <w:rsid w:val="3A514BA3"/>
    <w:rsid w:val="3A5D43AB"/>
    <w:rsid w:val="3A631534"/>
    <w:rsid w:val="3A73062E"/>
    <w:rsid w:val="3AA33175"/>
    <w:rsid w:val="3ACF0061"/>
    <w:rsid w:val="3AD25330"/>
    <w:rsid w:val="3ADD23BB"/>
    <w:rsid w:val="3B05109C"/>
    <w:rsid w:val="3B0C46A7"/>
    <w:rsid w:val="3B0F574E"/>
    <w:rsid w:val="3B58720B"/>
    <w:rsid w:val="3B5C6817"/>
    <w:rsid w:val="3B6E75E8"/>
    <w:rsid w:val="3B9E3D85"/>
    <w:rsid w:val="3BA857BE"/>
    <w:rsid w:val="3C034EF4"/>
    <w:rsid w:val="3C0A331D"/>
    <w:rsid w:val="3C121815"/>
    <w:rsid w:val="3C387CA7"/>
    <w:rsid w:val="3C454F58"/>
    <w:rsid w:val="3C4E5D75"/>
    <w:rsid w:val="3C4F05DB"/>
    <w:rsid w:val="3C574D41"/>
    <w:rsid w:val="3C64255D"/>
    <w:rsid w:val="3C7C008F"/>
    <w:rsid w:val="3C843EF5"/>
    <w:rsid w:val="3C8C7BE0"/>
    <w:rsid w:val="3C8E54C2"/>
    <w:rsid w:val="3CA3658C"/>
    <w:rsid w:val="3CDF60A9"/>
    <w:rsid w:val="3CE54FBD"/>
    <w:rsid w:val="3D1F0176"/>
    <w:rsid w:val="3D390E2F"/>
    <w:rsid w:val="3D3A3E54"/>
    <w:rsid w:val="3D3A659B"/>
    <w:rsid w:val="3D422640"/>
    <w:rsid w:val="3D70354C"/>
    <w:rsid w:val="3DB3312C"/>
    <w:rsid w:val="3DB4623F"/>
    <w:rsid w:val="3DDF4ED2"/>
    <w:rsid w:val="3DE4262D"/>
    <w:rsid w:val="3E060B46"/>
    <w:rsid w:val="3E085FE2"/>
    <w:rsid w:val="3E13349E"/>
    <w:rsid w:val="3E4E401B"/>
    <w:rsid w:val="3E694CE5"/>
    <w:rsid w:val="3E705E35"/>
    <w:rsid w:val="3E84271F"/>
    <w:rsid w:val="3E982662"/>
    <w:rsid w:val="3EAA1047"/>
    <w:rsid w:val="3EAB370D"/>
    <w:rsid w:val="3ED51AC6"/>
    <w:rsid w:val="3EE90573"/>
    <w:rsid w:val="3EF10DBA"/>
    <w:rsid w:val="3EFF3386"/>
    <w:rsid w:val="3F071143"/>
    <w:rsid w:val="3F2201E1"/>
    <w:rsid w:val="3F255C82"/>
    <w:rsid w:val="3F2E4F90"/>
    <w:rsid w:val="3F3B3508"/>
    <w:rsid w:val="3F494EDE"/>
    <w:rsid w:val="3F647006"/>
    <w:rsid w:val="3FA21AAC"/>
    <w:rsid w:val="3FA41308"/>
    <w:rsid w:val="3FFC5E83"/>
    <w:rsid w:val="40041F36"/>
    <w:rsid w:val="40136D56"/>
    <w:rsid w:val="4021470A"/>
    <w:rsid w:val="402A7212"/>
    <w:rsid w:val="403B15BA"/>
    <w:rsid w:val="40470D40"/>
    <w:rsid w:val="404C42F6"/>
    <w:rsid w:val="406414E5"/>
    <w:rsid w:val="409A294A"/>
    <w:rsid w:val="40A755C8"/>
    <w:rsid w:val="40B20024"/>
    <w:rsid w:val="40C97F2D"/>
    <w:rsid w:val="40F2719E"/>
    <w:rsid w:val="410A61D6"/>
    <w:rsid w:val="412D14C3"/>
    <w:rsid w:val="41446CD4"/>
    <w:rsid w:val="415C668F"/>
    <w:rsid w:val="41672436"/>
    <w:rsid w:val="4176372A"/>
    <w:rsid w:val="41791139"/>
    <w:rsid w:val="41905FA1"/>
    <w:rsid w:val="419E4563"/>
    <w:rsid w:val="41B532D1"/>
    <w:rsid w:val="41CA1DC2"/>
    <w:rsid w:val="41D82129"/>
    <w:rsid w:val="41EF5972"/>
    <w:rsid w:val="41FB7F47"/>
    <w:rsid w:val="41FC757A"/>
    <w:rsid w:val="4210553E"/>
    <w:rsid w:val="423B22C1"/>
    <w:rsid w:val="4249368C"/>
    <w:rsid w:val="426B3006"/>
    <w:rsid w:val="428D4123"/>
    <w:rsid w:val="42932C52"/>
    <w:rsid w:val="42A0635B"/>
    <w:rsid w:val="42B72813"/>
    <w:rsid w:val="42D85973"/>
    <w:rsid w:val="42DC33E6"/>
    <w:rsid w:val="42EC1351"/>
    <w:rsid w:val="42ED2437"/>
    <w:rsid w:val="42F36930"/>
    <w:rsid w:val="42FD181D"/>
    <w:rsid w:val="431061FB"/>
    <w:rsid w:val="43124BF6"/>
    <w:rsid w:val="4349465A"/>
    <w:rsid w:val="434C64BC"/>
    <w:rsid w:val="43733BD8"/>
    <w:rsid w:val="437B4910"/>
    <w:rsid w:val="438576D3"/>
    <w:rsid w:val="439D4508"/>
    <w:rsid w:val="43BB7BC6"/>
    <w:rsid w:val="43F57316"/>
    <w:rsid w:val="43F97CBE"/>
    <w:rsid w:val="43FE0DEA"/>
    <w:rsid w:val="440F7F4E"/>
    <w:rsid w:val="443C69AB"/>
    <w:rsid w:val="443D7047"/>
    <w:rsid w:val="44472E30"/>
    <w:rsid w:val="444D0235"/>
    <w:rsid w:val="44515BDE"/>
    <w:rsid w:val="4459017B"/>
    <w:rsid w:val="445D5269"/>
    <w:rsid w:val="44603D31"/>
    <w:rsid w:val="44796CB8"/>
    <w:rsid w:val="4489115A"/>
    <w:rsid w:val="44A06867"/>
    <w:rsid w:val="44A22133"/>
    <w:rsid w:val="44AF59B2"/>
    <w:rsid w:val="44DA6990"/>
    <w:rsid w:val="44F3414B"/>
    <w:rsid w:val="44F63C49"/>
    <w:rsid w:val="4505021A"/>
    <w:rsid w:val="450D2286"/>
    <w:rsid w:val="45124355"/>
    <w:rsid w:val="45145211"/>
    <w:rsid w:val="45195D67"/>
    <w:rsid w:val="45362940"/>
    <w:rsid w:val="453D2F6D"/>
    <w:rsid w:val="45670135"/>
    <w:rsid w:val="45B43DDA"/>
    <w:rsid w:val="45B46C25"/>
    <w:rsid w:val="45DE514B"/>
    <w:rsid w:val="45E15D05"/>
    <w:rsid w:val="45F05899"/>
    <w:rsid w:val="460B4CE3"/>
    <w:rsid w:val="46313F54"/>
    <w:rsid w:val="466A2047"/>
    <w:rsid w:val="467A1B75"/>
    <w:rsid w:val="467D79DB"/>
    <w:rsid w:val="468D61C8"/>
    <w:rsid w:val="46A351E3"/>
    <w:rsid w:val="46A76529"/>
    <w:rsid w:val="46E43A69"/>
    <w:rsid w:val="46EA67B4"/>
    <w:rsid w:val="46ED441E"/>
    <w:rsid w:val="470D7622"/>
    <w:rsid w:val="47301DD5"/>
    <w:rsid w:val="4743695F"/>
    <w:rsid w:val="475A18C2"/>
    <w:rsid w:val="47634BEC"/>
    <w:rsid w:val="47850A9C"/>
    <w:rsid w:val="47912B64"/>
    <w:rsid w:val="47A60956"/>
    <w:rsid w:val="47AA61EF"/>
    <w:rsid w:val="47C856F3"/>
    <w:rsid w:val="47CB09D0"/>
    <w:rsid w:val="47FD2C41"/>
    <w:rsid w:val="48052AF3"/>
    <w:rsid w:val="482011AC"/>
    <w:rsid w:val="483A6315"/>
    <w:rsid w:val="486D65CA"/>
    <w:rsid w:val="48833C1D"/>
    <w:rsid w:val="488D6D20"/>
    <w:rsid w:val="4895331F"/>
    <w:rsid w:val="48A20B29"/>
    <w:rsid w:val="48AB6D0B"/>
    <w:rsid w:val="48AE07FD"/>
    <w:rsid w:val="48D07AE8"/>
    <w:rsid w:val="48ED0A63"/>
    <w:rsid w:val="48FD056C"/>
    <w:rsid w:val="48FD1308"/>
    <w:rsid w:val="49065A07"/>
    <w:rsid w:val="492B3B75"/>
    <w:rsid w:val="492C0724"/>
    <w:rsid w:val="49452DA3"/>
    <w:rsid w:val="49507668"/>
    <w:rsid w:val="499251F8"/>
    <w:rsid w:val="49D32961"/>
    <w:rsid w:val="49DC565F"/>
    <w:rsid w:val="4A0C6C43"/>
    <w:rsid w:val="4A2441A9"/>
    <w:rsid w:val="4A377527"/>
    <w:rsid w:val="4A390F2C"/>
    <w:rsid w:val="4A5F7E57"/>
    <w:rsid w:val="4A616265"/>
    <w:rsid w:val="4A8E4B4C"/>
    <w:rsid w:val="4A9016EF"/>
    <w:rsid w:val="4A93160D"/>
    <w:rsid w:val="4AA84D81"/>
    <w:rsid w:val="4AEE41B5"/>
    <w:rsid w:val="4B071464"/>
    <w:rsid w:val="4B303281"/>
    <w:rsid w:val="4B320613"/>
    <w:rsid w:val="4B374116"/>
    <w:rsid w:val="4B464AF4"/>
    <w:rsid w:val="4B533BA7"/>
    <w:rsid w:val="4B741F73"/>
    <w:rsid w:val="4B787A83"/>
    <w:rsid w:val="4B7E604B"/>
    <w:rsid w:val="4B8D109C"/>
    <w:rsid w:val="4B980B33"/>
    <w:rsid w:val="4BB04AD1"/>
    <w:rsid w:val="4BB35ED4"/>
    <w:rsid w:val="4BC27600"/>
    <w:rsid w:val="4BF55535"/>
    <w:rsid w:val="4C027487"/>
    <w:rsid w:val="4C1A3C5B"/>
    <w:rsid w:val="4C2B0FF3"/>
    <w:rsid w:val="4C6827AA"/>
    <w:rsid w:val="4C9924E6"/>
    <w:rsid w:val="4CA52325"/>
    <w:rsid w:val="4CE2333A"/>
    <w:rsid w:val="4CED3E7A"/>
    <w:rsid w:val="4CF603FD"/>
    <w:rsid w:val="4CF8481E"/>
    <w:rsid w:val="4D091698"/>
    <w:rsid w:val="4D100F3B"/>
    <w:rsid w:val="4D2126E2"/>
    <w:rsid w:val="4D2D7A90"/>
    <w:rsid w:val="4D310234"/>
    <w:rsid w:val="4D6F2AAF"/>
    <w:rsid w:val="4D703987"/>
    <w:rsid w:val="4D77020C"/>
    <w:rsid w:val="4D842E84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172302"/>
    <w:rsid w:val="4E33272B"/>
    <w:rsid w:val="4E3D1B02"/>
    <w:rsid w:val="4E4301C5"/>
    <w:rsid w:val="4E4B7606"/>
    <w:rsid w:val="4E5E55F1"/>
    <w:rsid w:val="4E721AD8"/>
    <w:rsid w:val="4E7727A0"/>
    <w:rsid w:val="4E8B229C"/>
    <w:rsid w:val="4E9F014A"/>
    <w:rsid w:val="4EAA6FC8"/>
    <w:rsid w:val="4EC11740"/>
    <w:rsid w:val="4ECD2C07"/>
    <w:rsid w:val="4EE227C4"/>
    <w:rsid w:val="4EE47D2F"/>
    <w:rsid w:val="4F121A4A"/>
    <w:rsid w:val="4F264A08"/>
    <w:rsid w:val="4F310C7D"/>
    <w:rsid w:val="4F3D6FFC"/>
    <w:rsid w:val="4F5705EC"/>
    <w:rsid w:val="4F572AC7"/>
    <w:rsid w:val="4F6B375C"/>
    <w:rsid w:val="4F937584"/>
    <w:rsid w:val="4F9C0E06"/>
    <w:rsid w:val="4FB65C53"/>
    <w:rsid w:val="4FBC3BA6"/>
    <w:rsid w:val="4FF13487"/>
    <w:rsid w:val="50167F78"/>
    <w:rsid w:val="502C2DCE"/>
    <w:rsid w:val="50464BF4"/>
    <w:rsid w:val="504B57C3"/>
    <w:rsid w:val="504D365B"/>
    <w:rsid w:val="50642376"/>
    <w:rsid w:val="506B2D33"/>
    <w:rsid w:val="50710149"/>
    <w:rsid w:val="507E6AE8"/>
    <w:rsid w:val="509C53F9"/>
    <w:rsid w:val="50A05849"/>
    <w:rsid w:val="50A75E36"/>
    <w:rsid w:val="50B00FFE"/>
    <w:rsid w:val="50B03469"/>
    <w:rsid w:val="50D00CA9"/>
    <w:rsid w:val="50EB5D50"/>
    <w:rsid w:val="51035DBC"/>
    <w:rsid w:val="51076E21"/>
    <w:rsid w:val="51161A3F"/>
    <w:rsid w:val="512837C6"/>
    <w:rsid w:val="512E568B"/>
    <w:rsid w:val="513375BA"/>
    <w:rsid w:val="514A3712"/>
    <w:rsid w:val="5156539D"/>
    <w:rsid w:val="5177229C"/>
    <w:rsid w:val="518F2042"/>
    <w:rsid w:val="519166EB"/>
    <w:rsid w:val="51E82002"/>
    <w:rsid w:val="51F46AC1"/>
    <w:rsid w:val="521E1B03"/>
    <w:rsid w:val="52207E23"/>
    <w:rsid w:val="522945D9"/>
    <w:rsid w:val="52340653"/>
    <w:rsid w:val="52700369"/>
    <w:rsid w:val="5275659E"/>
    <w:rsid w:val="527C4797"/>
    <w:rsid w:val="528B33B2"/>
    <w:rsid w:val="52912171"/>
    <w:rsid w:val="52C958B1"/>
    <w:rsid w:val="52DA603D"/>
    <w:rsid w:val="53136554"/>
    <w:rsid w:val="53170140"/>
    <w:rsid w:val="532A3DB5"/>
    <w:rsid w:val="533C6782"/>
    <w:rsid w:val="535C71F1"/>
    <w:rsid w:val="538612F7"/>
    <w:rsid w:val="5391068B"/>
    <w:rsid w:val="539F5885"/>
    <w:rsid w:val="53A305A4"/>
    <w:rsid w:val="53C1252E"/>
    <w:rsid w:val="53D8481F"/>
    <w:rsid w:val="53DE6732"/>
    <w:rsid w:val="53E27E61"/>
    <w:rsid w:val="53EE68C4"/>
    <w:rsid w:val="53FC59E4"/>
    <w:rsid w:val="54012AA5"/>
    <w:rsid w:val="54063C99"/>
    <w:rsid w:val="540674FE"/>
    <w:rsid w:val="5411192B"/>
    <w:rsid w:val="541D165E"/>
    <w:rsid w:val="54257606"/>
    <w:rsid w:val="54281F1B"/>
    <w:rsid w:val="542A702A"/>
    <w:rsid w:val="5440484D"/>
    <w:rsid w:val="54585D1F"/>
    <w:rsid w:val="54861FC1"/>
    <w:rsid w:val="549A68BF"/>
    <w:rsid w:val="54B17058"/>
    <w:rsid w:val="54B8394F"/>
    <w:rsid w:val="54D27C4A"/>
    <w:rsid w:val="54DF5E53"/>
    <w:rsid w:val="54F040B1"/>
    <w:rsid w:val="54FA3657"/>
    <w:rsid w:val="55253ABF"/>
    <w:rsid w:val="55267F81"/>
    <w:rsid w:val="55372701"/>
    <w:rsid w:val="5547445B"/>
    <w:rsid w:val="55512E3A"/>
    <w:rsid w:val="555D2DB9"/>
    <w:rsid w:val="557B63B7"/>
    <w:rsid w:val="5584514E"/>
    <w:rsid w:val="55A2710F"/>
    <w:rsid w:val="55AC29D7"/>
    <w:rsid w:val="55C007F7"/>
    <w:rsid w:val="55D56B6C"/>
    <w:rsid w:val="55D65342"/>
    <w:rsid w:val="55D96CF0"/>
    <w:rsid w:val="55DD10D2"/>
    <w:rsid w:val="55F60907"/>
    <w:rsid w:val="55F8403F"/>
    <w:rsid w:val="560E2C77"/>
    <w:rsid w:val="5612021F"/>
    <w:rsid w:val="56133934"/>
    <w:rsid w:val="5618307F"/>
    <w:rsid w:val="561D2F6A"/>
    <w:rsid w:val="564404C9"/>
    <w:rsid w:val="564411EB"/>
    <w:rsid w:val="564A1FBA"/>
    <w:rsid w:val="565323AA"/>
    <w:rsid w:val="5658328F"/>
    <w:rsid w:val="565D42FD"/>
    <w:rsid w:val="566009A0"/>
    <w:rsid w:val="56AD6753"/>
    <w:rsid w:val="56ED54A5"/>
    <w:rsid w:val="57000A54"/>
    <w:rsid w:val="57104A3D"/>
    <w:rsid w:val="571A0928"/>
    <w:rsid w:val="571C15AF"/>
    <w:rsid w:val="572255CB"/>
    <w:rsid w:val="572921CE"/>
    <w:rsid w:val="57616078"/>
    <w:rsid w:val="577737AD"/>
    <w:rsid w:val="5790546F"/>
    <w:rsid w:val="57D11273"/>
    <w:rsid w:val="57D145E5"/>
    <w:rsid w:val="57EA44D3"/>
    <w:rsid w:val="57ED7938"/>
    <w:rsid w:val="58103DEF"/>
    <w:rsid w:val="583A735D"/>
    <w:rsid w:val="583C1933"/>
    <w:rsid w:val="584248C9"/>
    <w:rsid w:val="58554791"/>
    <w:rsid w:val="587454D1"/>
    <w:rsid w:val="5888393B"/>
    <w:rsid w:val="58A23C06"/>
    <w:rsid w:val="58A72693"/>
    <w:rsid w:val="58DD319F"/>
    <w:rsid w:val="59040F4C"/>
    <w:rsid w:val="590A7698"/>
    <w:rsid w:val="59170802"/>
    <w:rsid w:val="5937759D"/>
    <w:rsid w:val="593C377E"/>
    <w:rsid w:val="594134A1"/>
    <w:rsid w:val="596C5710"/>
    <w:rsid w:val="599177BF"/>
    <w:rsid w:val="599F7F9F"/>
    <w:rsid w:val="59AC19B3"/>
    <w:rsid w:val="59CE60CD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02224"/>
    <w:rsid w:val="5A89003F"/>
    <w:rsid w:val="5A9B505E"/>
    <w:rsid w:val="5AA943E6"/>
    <w:rsid w:val="5AB26089"/>
    <w:rsid w:val="5AC85E24"/>
    <w:rsid w:val="5AD4558D"/>
    <w:rsid w:val="5AFF190A"/>
    <w:rsid w:val="5AFF2532"/>
    <w:rsid w:val="5B12538F"/>
    <w:rsid w:val="5B2415DA"/>
    <w:rsid w:val="5B2F057D"/>
    <w:rsid w:val="5B505C58"/>
    <w:rsid w:val="5B6F0775"/>
    <w:rsid w:val="5B792D6C"/>
    <w:rsid w:val="5B7E2713"/>
    <w:rsid w:val="5B8E404D"/>
    <w:rsid w:val="5BCD6B82"/>
    <w:rsid w:val="5BD54385"/>
    <w:rsid w:val="5C0538EB"/>
    <w:rsid w:val="5C2B5C4D"/>
    <w:rsid w:val="5C2E18E1"/>
    <w:rsid w:val="5C3C263A"/>
    <w:rsid w:val="5C3C2C27"/>
    <w:rsid w:val="5C3E29FB"/>
    <w:rsid w:val="5C672C63"/>
    <w:rsid w:val="5C8C0676"/>
    <w:rsid w:val="5CB3218A"/>
    <w:rsid w:val="5CB7672F"/>
    <w:rsid w:val="5CD04508"/>
    <w:rsid w:val="5CDA3E84"/>
    <w:rsid w:val="5CE811FD"/>
    <w:rsid w:val="5CE84B82"/>
    <w:rsid w:val="5CE967A6"/>
    <w:rsid w:val="5D333B54"/>
    <w:rsid w:val="5D49765E"/>
    <w:rsid w:val="5D8111B8"/>
    <w:rsid w:val="5D915762"/>
    <w:rsid w:val="5DB15540"/>
    <w:rsid w:val="5DC04FEC"/>
    <w:rsid w:val="5DDD4995"/>
    <w:rsid w:val="5DFE3FE2"/>
    <w:rsid w:val="5E0453AE"/>
    <w:rsid w:val="5E664FAC"/>
    <w:rsid w:val="5E675779"/>
    <w:rsid w:val="5E985848"/>
    <w:rsid w:val="5EDF7EA9"/>
    <w:rsid w:val="5EE02631"/>
    <w:rsid w:val="5F062C63"/>
    <w:rsid w:val="5F3E4125"/>
    <w:rsid w:val="5F402296"/>
    <w:rsid w:val="5F456E21"/>
    <w:rsid w:val="5F73552D"/>
    <w:rsid w:val="5F8D44D1"/>
    <w:rsid w:val="5F8E6F84"/>
    <w:rsid w:val="5F9307D6"/>
    <w:rsid w:val="5F9E4A5E"/>
    <w:rsid w:val="5FAA26D4"/>
    <w:rsid w:val="5FEA4182"/>
    <w:rsid w:val="5FFE2622"/>
    <w:rsid w:val="603056C1"/>
    <w:rsid w:val="60387104"/>
    <w:rsid w:val="60397D4F"/>
    <w:rsid w:val="604377BF"/>
    <w:rsid w:val="604A60B2"/>
    <w:rsid w:val="60703D0B"/>
    <w:rsid w:val="608A0914"/>
    <w:rsid w:val="60AE156D"/>
    <w:rsid w:val="60C10F40"/>
    <w:rsid w:val="60C12706"/>
    <w:rsid w:val="60C15011"/>
    <w:rsid w:val="60C827F8"/>
    <w:rsid w:val="60D67CE3"/>
    <w:rsid w:val="60EA0B47"/>
    <w:rsid w:val="60EA44B6"/>
    <w:rsid w:val="61061815"/>
    <w:rsid w:val="61065CEC"/>
    <w:rsid w:val="611500EE"/>
    <w:rsid w:val="612F14FB"/>
    <w:rsid w:val="61312810"/>
    <w:rsid w:val="614D3082"/>
    <w:rsid w:val="61521FAB"/>
    <w:rsid w:val="6155058B"/>
    <w:rsid w:val="615F1FF7"/>
    <w:rsid w:val="615F47EF"/>
    <w:rsid w:val="6173119D"/>
    <w:rsid w:val="618322DB"/>
    <w:rsid w:val="618E53ED"/>
    <w:rsid w:val="61B554A7"/>
    <w:rsid w:val="61BB6A24"/>
    <w:rsid w:val="61CA26DF"/>
    <w:rsid w:val="61DC51CB"/>
    <w:rsid w:val="61E84258"/>
    <w:rsid w:val="62072592"/>
    <w:rsid w:val="62120AF1"/>
    <w:rsid w:val="62152ED9"/>
    <w:rsid w:val="62290FE7"/>
    <w:rsid w:val="62346586"/>
    <w:rsid w:val="627204F9"/>
    <w:rsid w:val="628C42E3"/>
    <w:rsid w:val="62A36DF8"/>
    <w:rsid w:val="62B250B9"/>
    <w:rsid w:val="62D705AF"/>
    <w:rsid w:val="62E9582D"/>
    <w:rsid w:val="62F055B2"/>
    <w:rsid w:val="62F608A4"/>
    <w:rsid w:val="63085C74"/>
    <w:rsid w:val="630C1F05"/>
    <w:rsid w:val="63363B89"/>
    <w:rsid w:val="634025BB"/>
    <w:rsid w:val="63475997"/>
    <w:rsid w:val="63563A70"/>
    <w:rsid w:val="63580A4D"/>
    <w:rsid w:val="636C3F91"/>
    <w:rsid w:val="637455EF"/>
    <w:rsid w:val="638467A7"/>
    <w:rsid w:val="639431D1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5D7CF8"/>
    <w:rsid w:val="6483018A"/>
    <w:rsid w:val="64913ECE"/>
    <w:rsid w:val="649D43E9"/>
    <w:rsid w:val="649E5CEC"/>
    <w:rsid w:val="64E83D4F"/>
    <w:rsid w:val="650F71F7"/>
    <w:rsid w:val="65254108"/>
    <w:rsid w:val="653035FF"/>
    <w:rsid w:val="653D193B"/>
    <w:rsid w:val="65424C34"/>
    <w:rsid w:val="65846375"/>
    <w:rsid w:val="65FF7A5D"/>
    <w:rsid w:val="6607216D"/>
    <w:rsid w:val="660B36D8"/>
    <w:rsid w:val="662C3451"/>
    <w:rsid w:val="664B327C"/>
    <w:rsid w:val="665F0D15"/>
    <w:rsid w:val="66B53531"/>
    <w:rsid w:val="66B73A6C"/>
    <w:rsid w:val="66BA3A61"/>
    <w:rsid w:val="66BB4713"/>
    <w:rsid w:val="66E649C8"/>
    <w:rsid w:val="67247918"/>
    <w:rsid w:val="67785704"/>
    <w:rsid w:val="677915A0"/>
    <w:rsid w:val="679D3830"/>
    <w:rsid w:val="679F771F"/>
    <w:rsid w:val="67B934DC"/>
    <w:rsid w:val="67BF33EE"/>
    <w:rsid w:val="67CF374B"/>
    <w:rsid w:val="67F16116"/>
    <w:rsid w:val="67FC39D9"/>
    <w:rsid w:val="67FE7D96"/>
    <w:rsid w:val="68000388"/>
    <w:rsid w:val="68171831"/>
    <w:rsid w:val="68287CCE"/>
    <w:rsid w:val="68413773"/>
    <w:rsid w:val="6843281D"/>
    <w:rsid w:val="68433ABE"/>
    <w:rsid w:val="684515AB"/>
    <w:rsid w:val="684E0D29"/>
    <w:rsid w:val="6876619F"/>
    <w:rsid w:val="688D70D6"/>
    <w:rsid w:val="68942691"/>
    <w:rsid w:val="68A67678"/>
    <w:rsid w:val="68B0611A"/>
    <w:rsid w:val="68C0408B"/>
    <w:rsid w:val="68D6023A"/>
    <w:rsid w:val="68DD6468"/>
    <w:rsid w:val="68E034C5"/>
    <w:rsid w:val="68ED6EF8"/>
    <w:rsid w:val="6901366D"/>
    <w:rsid w:val="690C7551"/>
    <w:rsid w:val="69142594"/>
    <w:rsid w:val="691902EB"/>
    <w:rsid w:val="69390DA3"/>
    <w:rsid w:val="695020D6"/>
    <w:rsid w:val="6971099E"/>
    <w:rsid w:val="69977B57"/>
    <w:rsid w:val="69B54511"/>
    <w:rsid w:val="69BA0F08"/>
    <w:rsid w:val="69D32AD4"/>
    <w:rsid w:val="69D4556F"/>
    <w:rsid w:val="69DE0B86"/>
    <w:rsid w:val="69E359FF"/>
    <w:rsid w:val="69FA61DE"/>
    <w:rsid w:val="6A007B19"/>
    <w:rsid w:val="6A0C0055"/>
    <w:rsid w:val="6A2559AC"/>
    <w:rsid w:val="6A2B0AC4"/>
    <w:rsid w:val="6A2F1121"/>
    <w:rsid w:val="6A865F51"/>
    <w:rsid w:val="6ACA21AB"/>
    <w:rsid w:val="6ACD5E74"/>
    <w:rsid w:val="6AD86036"/>
    <w:rsid w:val="6AE02E0C"/>
    <w:rsid w:val="6AEA5DC9"/>
    <w:rsid w:val="6B087749"/>
    <w:rsid w:val="6B4558C8"/>
    <w:rsid w:val="6B5258C3"/>
    <w:rsid w:val="6B5A73AA"/>
    <w:rsid w:val="6B5E25D9"/>
    <w:rsid w:val="6B8549E2"/>
    <w:rsid w:val="6B8F17D8"/>
    <w:rsid w:val="6B9907C9"/>
    <w:rsid w:val="6B9B01DA"/>
    <w:rsid w:val="6BA52610"/>
    <w:rsid w:val="6BA85FFC"/>
    <w:rsid w:val="6BAF1555"/>
    <w:rsid w:val="6BCA2A06"/>
    <w:rsid w:val="6BDE1B06"/>
    <w:rsid w:val="6BF24C24"/>
    <w:rsid w:val="6BF42E3B"/>
    <w:rsid w:val="6C1878BA"/>
    <w:rsid w:val="6C2B60C2"/>
    <w:rsid w:val="6C553917"/>
    <w:rsid w:val="6C5B1D75"/>
    <w:rsid w:val="6C6062CD"/>
    <w:rsid w:val="6C6271A8"/>
    <w:rsid w:val="6C7566F3"/>
    <w:rsid w:val="6C906777"/>
    <w:rsid w:val="6CAF5DC6"/>
    <w:rsid w:val="6CB15C09"/>
    <w:rsid w:val="6CC10622"/>
    <w:rsid w:val="6CDE31A7"/>
    <w:rsid w:val="6CE12F2B"/>
    <w:rsid w:val="6CEA6D6E"/>
    <w:rsid w:val="6CFA23BA"/>
    <w:rsid w:val="6D1616EF"/>
    <w:rsid w:val="6D1B4046"/>
    <w:rsid w:val="6D420531"/>
    <w:rsid w:val="6D517AC5"/>
    <w:rsid w:val="6D55049A"/>
    <w:rsid w:val="6D55539D"/>
    <w:rsid w:val="6D5F4A55"/>
    <w:rsid w:val="6D713C09"/>
    <w:rsid w:val="6D7A5BD4"/>
    <w:rsid w:val="6D7E5E09"/>
    <w:rsid w:val="6D8112D8"/>
    <w:rsid w:val="6D8129CA"/>
    <w:rsid w:val="6DA97346"/>
    <w:rsid w:val="6DB209DD"/>
    <w:rsid w:val="6DB45CF6"/>
    <w:rsid w:val="6DDB6F3B"/>
    <w:rsid w:val="6DF24FFD"/>
    <w:rsid w:val="6E116D08"/>
    <w:rsid w:val="6E135025"/>
    <w:rsid w:val="6E2F5B3F"/>
    <w:rsid w:val="6E3741BF"/>
    <w:rsid w:val="6E462BE2"/>
    <w:rsid w:val="6E5C10F8"/>
    <w:rsid w:val="6E6C1932"/>
    <w:rsid w:val="6EB730B4"/>
    <w:rsid w:val="6EBD36DE"/>
    <w:rsid w:val="6EBF3A3D"/>
    <w:rsid w:val="6EDD2182"/>
    <w:rsid w:val="6F12611E"/>
    <w:rsid w:val="6F2A6705"/>
    <w:rsid w:val="6F5A7C06"/>
    <w:rsid w:val="6F796F30"/>
    <w:rsid w:val="6F9221E1"/>
    <w:rsid w:val="6F9240A7"/>
    <w:rsid w:val="6FA56E12"/>
    <w:rsid w:val="6FB15344"/>
    <w:rsid w:val="6FBE410D"/>
    <w:rsid w:val="6FC21D07"/>
    <w:rsid w:val="6FC36FAE"/>
    <w:rsid w:val="6FCF4D71"/>
    <w:rsid w:val="6FD46E0C"/>
    <w:rsid w:val="6FF775D8"/>
    <w:rsid w:val="70080B49"/>
    <w:rsid w:val="700E4055"/>
    <w:rsid w:val="70516D08"/>
    <w:rsid w:val="70570E1A"/>
    <w:rsid w:val="708648C1"/>
    <w:rsid w:val="709B4FEE"/>
    <w:rsid w:val="70AD0691"/>
    <w:rsid w:val="70FA034E"/>
    <w:rsid w:val="7101308B"/>
    <w:rsid w:val="711166D3"/>
    <w:rsid w:val="71161D09"/>
    <w:rsid w:val="71216BBE"/>
    <w:rsid w:val="71233B0F"/>
    <w:rsid w:val="71392ADD"/>
    <w:rsid w:val="714D0D49"/>
    <w:rsid w:val="71616D30"/>
    <w:rsid w:val="71734624"/>
    <w:rsid w:val="719344DF"/>
    <w:rsid w:val="719A3020"/>
    <w:rsid w:val="71A77563"/>
    <w:rsid w:val="71AA16BE"/>
    <w:rsid w:val="71AD2C10"/>
    <w:rsid w:val="71CA497F"/>
    <w:rsid w:val="71CD080B"/>
    <w:rsid w:val="71D240B7"/>
    <w:rsid w:val="71D64B5A"/>
    <w:rsid w:val="71F76D7A"/>
    <w:rsid w:val="71FB6CDF"/>
    <w:rsid w:val="72142993"/>
    <w:rsid w:val="72143476"/>
    <w:rsid w:val="72474D5B"/>
    <w:rsid w:val="72483CF1"/>
    <w:rsid w:val="725D3E8F"/>
    <w:rsid w:val="72851DEB"/>
    <w:rsid w:val="728E3DEF"/>
    <w:rsid w:val="72B047C6"/>
    <w:rsid w:val="72BF16C7"/>
    <w:rsid w:val="72D20A64"/>
    <w:rsid w:val="72D76E62"/>
    <w:rsid w:val="72E65625"/>
    <w:rsid w:val="7301252E"/>
    <w:rsid w:val="73251318"/>
    <w:rsid w:val="732C523D"/>
    <w:rsid w:val="7349540C"/>
    <w:rsid w:val="739865C5"/>
    <w:rsid w:val="73B245EA"/>
    <w:rsid w:val="73F23E56"/>
    <w:rsid w:val="73F71354"/>
    <w:rsid w:val="73F9075D"/>
    <w:rsid w:val="740E2B1F"/>
    <w:rsid w:val="74173A6B"/>
    <w:rsid w:val="74272B18"/>
    <w:rsid w:val="74422EB7"/>
    <w:rsid w:val="7457003A"/>
    <w:rsid w:val="745C01E7"/>
    <w:rsid w:val="74692974"/>
    <w:rsid w:val="749012EB"/>
    <w:rsid w:val="74905CD8"/>
    <w:rsid w:val="74944100"/>
    <w:rsid w:val="74954C38"/>
    <w:rsid w:val="74A64C94"/>
    <w:rsid w:val="74D41C94"/>
    <w:rsid w:val="74E9533D"/>
    <w:rsid w:val="75446734"/>
    <w:rsid w:val="75564A84"/>
    <w:rsid w:val="75613F6E"/>
    <w:rsid w:val="75650385"/>
    <w:rsid w:val="7568449E"/>
    <w:rsid w:val="759D46E9"/>
    <w:rsid w:val="75AE1F7F"/>
    <w:rsid w:val="75C1589D"/>
    <w:rsid w:val="75DD534E"/>
    <w:rsid w:val="75F4403B"/>
    <w:rsid w:val="75F51476"/>
    <w:rsid w:val="76234FBD"/>
    <w:rsid w:val="76692CB4"/>
    <w:rsid w:val="768723BA"/>
    <w:rsid w:val="76944B58"/>
    <w:rsid w:val="769526AC"/>
    <w:rsid w:val="769F7D4A"/>
    <w:rsid w:val="76B63D5A"/>
    <w:rsid w:val="76BB3F0E"/>
    <w:rsid w:val="76BE5C15"/>
    <w:rsid w:val="76BF2FBF"/>
    <w:rsid w:val="76D325B6"/>
    <w:rsid w:val="76E15DD6"/>
    <w:rsid w:val="76EF0C20"/>
    <w:rsid w:val="772D243F"/>
    <w:rsid w:val="776F2E7A"/>
    <w:rsid w:val="778C335B"/>
    <w:rsid w:val="77C3294D"/>
    <w:rsid w:val="77DA0301"/>
    <w:rsid w:val="77DD430B"/>
    <w:rsid w:val="780047D1"/>
    <w:rsid w:val="78050B7A"/>
    <w:rsid w:val="781439A5"/>
    <w:rsid w:val="78474714"/>
    <w:rsid w:val="785D1AAE"/>
    <w:rsid w:val="78745E6E"/>
    <w:rsid w:val="78795438"/>
    <w:rsid w:val="78823541"/>
    <w:rsid w:val="78A12C82"/>
    <w:rsid w:val="78A90C75"/>
    <w:rsid w:val="78A91FA6"/>
    <w:rsid w:val="78C67999"/>
    <w:rsid w:val="78DF72B3"/>
    <w:rsid w:val="78E50124"/>
    <w:rsid w:val="78F34EF5"/>
    <w:rsid w:val="79180611"/>
    <w:rsid w:val="7951296C"/>
    <w:rsid w:val="796E03CF"/>
    <w:rsid w:val="7974454E"/>
    <w:rsid w:val="797647B8"/>
    <w:rsid w:val="797818F0"/>
    <w:rsid w:val="79AD0F91"/>
    <w:rsid w:val="79B67E16"/>
    <w:rsid w:val="79B76A30"/>
    <w:rsid w:val="79D71C26"/>
    <w:rsid w:val="79DA72C4"/>
    <w:rsid w:val="79FE3DE8"/>
    <w:rsid w:val="7A182932"/>
    <w:rsid w:val="7A3B2456"/>
    <w:rsid w:val="7A80597A"/>
    <w:rsid w:val="7A8C6520"/>
    <w:rsid w:val="7AB317B4"/>
    <w:rsid w:val="7AB64D3E"/>
    <w:rsid w:val="7AB7675B"/>
    <w:rsid w:val="7AC52CCB"/>
    <w:rsid w:val="7AD407A0"/>
    <w:rsid w:val="7AD519CA"/>
    <w:rsid w:val="7AE100FB"/>
    <w:rsid w:val="7B00341F"/>
    <w:rsid w:val="7B051B65"/>
    <w:rsid w:val="7B173E9B"/>
    <w:rsid w:val="7B385D52"/>
    <w:rsid w:val="7B3E21B1"/>
    <w:rsid w:val="7B46231E"/>
    <w:rsid w:val="7B522D4D"/>
    <w:rsid w:val="7B581BAC"/>
    <w:rsid w:val="7B5B161C"/>
    <w:rsid w:val="7B6608E4"/>
    <w:rsid w:val="7B7701BA"/>
    <w:rsid w:val="7B930544"/>
    <w:rsid w:val="7BA11190"/>
    <w:rsid w:val="7BB522D3"/>
    <w:rsid w:val="7BC00F8B"/>
    <w:rsid w:val="7BC8200B"/>
    <w:rsid w:val="7BED5619"/>
    <w:rsid w:val="7C11332D"/>
    <w:rsid w:val="7C165B89"/>
    <w:rsid w:val="7C1C3059"/>
    <w:rsid w:val="7C213D9A"/>
    <w:rsid w:val="7C267F17"/>
    <w:rsid w:val="7C282F0F"/>
    <w:rsid w:val="7C2A682C"/>
    <w:rsid w:val="7C63472B"/>
    <w:rsid w:val="7C872CDF"/>
    <w:rsid w:val="7C876B58"/>
    <w:rsid w:val="7CBB32B2"/>
    <w:rsid w:val="7CC73207"/>
    <w:rsid w:val="7CDA1C6C"/>
    <w:rsid w:val="7CDB5427"/>
    <w:rsid w:val="7CF701A8"/>
    <w:rsid w:val="7D1557DB"/>
    <w:rsid w:val="7D2339F7"/>
    <w:rsid w:val="7D51065C"/>
    <w:rsid w:val="7D573759"/>
    <w:rsid w:val="7D7F1AE4"/>
    <w:rsid w:val="7D8A0943"/>
    <w:rsid w:val="7DA67695"/>
    <w:rsid w:val="7DAA2098"/>
    <w:rsid w:val="7DAF173B"/>
    <w:rsid w:val="7DB90494"/>
    <w:rsid w:val="7DCB1EDB"/>
    <w:rsid w:val="7DD6600D"/>
    <w:rsid w:val="7DE46DAE"/>
    <w:rsid w:val="7E092125"/>
    <w:rsid w:val="7E146FA0"/>
    <w:rsid w:val="7E196910"/>
    <w:rsid w:val="7E2B2E6F"/>
    <w:rsid w:val="7E2C5444"/>
    <w:rsid w:val="7E400293"/>
    <w:rsid w:val="7E4B1CC8"/>
    <w:rsid w:val="7E671992"/>
    <w:rsid w:val="7E6E09C6"/>
    <w:rsid w:val="7E6E6AED"/>
    <w:rsid w:val="7E741761"/>
    <w:rsid w:val="7E8C739F"/>
    <w:rsid w:val="7EB6292A"/>
    <w:rsid w:val="7EE6012D"/>
    <w:rsid w:val="7EF62BCD"/>
    <w:rsid w:val="7F140B8A"/>
    <w:rsid w:val="7F313EA0"/>
    <w:rsid w:val="7F354263"/>
    <w:rsid w:val="7F4923A2"/>
    <w:rsid w:val="7F4B59BB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">
    <w:name w:val="heading 1"/>
    <w:next w:val="1"/>
    <w:link w:val="22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Yu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4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9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2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7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Heading 1b"/>
    <w:basedOn w:val="2"/>
    <w:qFormat/>
    <w:uiPriority w:val="0"/>
    <w:pPr>
      <w:numPr>
        <w:ilvl w:val="0"/>
        <w:numId w:val="6"/>
      </w:numPr>
    </w:pPr>
  </w:style>
  <w:style w:type="paragraph" w:customStyle="1" w:styleId="139">
    <w:name w:val="TAL Char Char"/>
    <w:basedOn w:val="1"/>
    <w:link w:val="233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0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41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Yu Mincho" w:cs="Times New Roman"/>
      <w:i/>
      <w:lang w:val="en-GB" w:eastAsia="en-US" w:bidi="ar-SA"/>
    </w:rPr>
  </w:style>
  <w:style w:type="paragraph" w:customStyle="1" w:styleId="142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EX"/>
    <w:basedOn w:val="1"/>
    <w:link w:val="213"/>
    <w:qFormat/>
    <w:uiPriority w:val="0"/>
    <w:pPr>
      <w:keepLines/>
      <w:ind w:left="1702" w:hanging="1418"/>
    </w:pPr>
  </w:style>
  <w:style w:type="paragraph" w:customStyle="1" w:styleId="144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5">
    <w:name w:val="B5"/>
    <w:basedOn w:val="60"/>
    <w:semiHidden/>
    <w:qFormat/>
    <w:uiPriority w:val="0"/>
  </w:style>
  <w:style w:type="paragraph" w:customStyle="1" w:styleId="146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Guidance"/>
    <w:basedOn w:val="1"/>
    <w:link w:val="220"/>
    <w:qFormat/>
    <w:uiPriority w:val="0"/>
    <w:rPr>
      <w:rFonts w:eastAsia="Times New Roman"/>
      <w:i/>
      <w:color w:val="0000FF"/>
      <w:sz w:val="20"/>
    </w:rPr>
  </w:style>
  <w:style w:type="paragraph" w:customStyle="1" w:styleId="148">
    <w:name w:val="TH"/>
    <w:basedOn w:val="149"/>
    <w:next w:val="149"/>
    <w:link w:val="234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4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0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Yu Mincho" w:cs="Times New Roman"/>
      <w:lang w:val="en-GB" w:eastAsia="en-US" w:bidi="ar-SA"/>
    </w:rPr>
  </w:style>
  <w:style w:type="paragraph" w:customStyle="1" w:styleId="153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5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6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8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9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Yu Mincho" w:cs="Times New Roman"/>
      <w:lang w:val="en-GB" w:eastAsia="en-US" w:bidi="ar-SA"/>
    </w:rPr>
  </w:style>
  <w:style w:type="paragraph" w:customStyle="1" w:styleId="160">
    <w:name w:val="ZV"/>
    <w:basedOn w:val="155"/>
    <w:semiHidden/>
    <w:qFormat/>
    <w:uiPriority w:val="0"/>
    <w:pPr>
      <w:framePr w:y="16161"/>
    </w:pPr>
  </w:style>
  <w:style w:type="paragraph" w:customStyle="1" w:styleId="161">
    <w:name w:val="TF"/>
    <w:basedOn w:val="148"/>
    <w:semiHidden/>
    <w:qFormat/>
    <w:uiPriority w:val="0"/>
    <w:pPr>
      <w:keepNext w:val="0"/>
      <w:keepLines/>
      <w:spacing w:before="0" w:after="240"/>
    </w:pPr>
  </w:style>
  <w:style w:type="paragraph" w:customStyle="1" w:styleId="16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Yu Mincho" w:cs="Times New Roman"/>
      <w:sz w:val="32"/>
      <w:lang w:val="en-GB" w:eastAsia="en-US" w:bidi="ar-SA"/>
    </w:rPr>
  </w:style>
  <w:style w:type="paragraph" w:customStyle="1" w:styleId="163">
    <w:name w:val="B2"/>
    <w:basedOn w:val="13"/>
    <w:link w:val="229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4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6">
    <w:name w:val="CR Cover Page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167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8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6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70">
    <w:name w:val="TAN"/>
    <w:basedOn w:val="171"/>
    <w:link w:val="225"/>
    <w:qFormat/>
    <w:uiPriority w:val="0"/>
    <w:pPr>
      <w:ind w:left="851" w:hanging="851"/>
    </w:pPr>
  </w:style>
  <w:style w:type="paragraph" w:customStyle="1" w:styleId="171">
    <w:name w:val="TAL"/>
    <w:basedOn w:val="1"/>
    <w:link w:val="232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FP"/>
    <w:basedOn w:val="1"/>
    <w:semiHidden/>
    <w:qFormat/>
    <w:uiPriority w:val="0"/>
    <w:pPr>
      <w:spacing w:after="0"/>
    </w:pPr>
  </w:style>
  <w:style w:type="paragraph" w:customStyle="1" w:styleId="17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9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EW"/>
    <w:basedOn w:val="143"/>
    <w:qFormat/>
    <w:uiPriority w:val="0"/>
    <w:pPr>
      <w:spacing w:after="0"/>
    </w:pPr>
  </w:style>
  <w:style w:type="paragraph" w:customStyle="1" w:styleId="176">
    <w:name w:val="B3"/>
    <w:basedOn w:val="12"/>
    <w:link w:val="24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8">
    <w:name w:val="NO"/>
    <w:basedOn w:val="1"/>
    <w:link w:val="242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82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83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4">
    <w:name w:val="tdoc-header"/>
    <w:semiHidden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185">
    <w:name w:val="Proposal"/>
    <w:basedOn w:val="1"/>
    <w:qFormat/>
    <w:uiPriority w:val="0"/>
    <w:rPr>
      <w:b/>
    </w:rPr>
  </w:style>
  <w:style w:type="paragraph" w:customStyle="1" w:styleId="186">
    <w:name w:val="PL"/>
    <w:link w:val="22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Figure"/>
    <w:basedOn w:val="1"/>
    <w:qFormat/>
    <w:uiPriority w:val="0"/>
    <w:pPr>
      <w:numPr>
        <w:ilvl w:val="0"/>
        <w:numId w:val="10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89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0">
    <w:name w:val="NW"/>
    <w:basedOn w:val="178"/>
    <w:qFormat/>
    <w:uiPriority w:val="0"/>
    <w:pPr>
      <w:spacing w:after="0"/>
    </w:pPr>
  </w:style>
  <w:style w:type="paragraph" w:customStyle="1" w:styleId="191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2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3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94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Editor's Note"/>
    <w:basedOn w:val="178"/>
    <w:link w:val="212"/>
    <w:semiHidden/>
    <w:qFormat/>
    <w:uiPriority w:val="0"/>
    <w:rPr>
      <w:color w:val="FF0000"/>
    </w:rPr>
  </w:style>
  <w:style w:type="paragraph" w:customStyle="1" w:styleId="19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8">
    <w:name w:val="TAR"/>
    <w:basedOn w:val="171"/>
    <w:qFormat/>
    <w:uiPriority w:val="0"/>
    <w:pPr>
      <w:jc w:val="right"/>
    </w:pPr>
  </w:style>
  <w:style w:type="paragraph" w:customStyle="1" w:styleId="199">
    <w:name w:val="TAH"/>
    <w:basedOn w:val="200"/>
    <w:link w:val="227"/>
    <w:qFormat/>
    <w:uiPriority w:val="0"/>
    <w:rPr>
      <w:b/>
    </w:rPr>
  </w:style>
  <w:style w:type="paragraph" w:customStyle="1" w:styleId="200">
    <w:name w:val="TAC"/>
    <w:basedOn w:val="171"/>
    <w:link w:val="216"/>
    <w:qFormat/>
    <w:uiPriority w:val="0"/>
    <w:pPr>
      <w:jc w:val="center"/>
    </w:pPr>
    <w:rPr>
      <w:rFonts w:eastAsia="MS Mincho"/>
    </w:rPr>
  </w:style>
  <w:style w:type="paragraph" w:customStyle="1" w:styleId="2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Yu Mincho" w:cs="Times New Roman"/>
      <w:b/>
      <w:sz w:val="34"/>
      <w:lang w:val="en-GB" w:eastAsia="en-US" w:bidi="ar-SA"/>
    </w:rPr>
  </w:style>
  <w:style w:type="paragraph" w:customStyle="1" w:styleId="202">
    <w:name w:val="TT"/>
    <w:basedOn w:val="2"/>
    <w:next w:val="1"/>
    <w:semiHidden/>
    <w:qFormat/>
    <w:uiPriority w:val="0"/>
    <w:pPr>
      <w:outlineLvl w:val="9"/>
    </w:pPr>
  </w:style>
  <w:style w:type="paragraph" w:customStyle="1" w:styleId="203">
    <w:name w:val="NF"/>
    <w:basedOn w:val="178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Yu Mincho" w:cs="Times New Roman"/>
      <w:sz w:val="40"/>
      <w:lang w:val="en-GB" w:eastAsia="en-US" w:bidi="ar-SA"/>
    </w:rPr>
  </w:style>
  <w:style w:type="paragraph" w:customStyle="1" w:styleId="205">
    <w:name w:val="B4"/>
    <w:basedOn w:val="61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6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ZTD"/>
    <w:basedOn w:val="141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8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2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11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212">
    <w:name w:val="Editor's Note Char"/>
    <w:link w:val="19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3">
    <w:name w:val="EX Char"/>
    <w:link w:val="143"/>
    <w:qFormat/>
    <w:locked/>
    <w:uiPriority w:val="0"/>
    <w:rPr>
      <w:sz w:val="22"/>
      <w:lang w:val="en-GB" w:eastAsia="en-US"/>
    </w:rPr>
  </w:style>
  <w:style w:type="character" w:customStyle="1" w:styleId="214">
    <w:name w:val="ZGSM"/>
    <w:qFormat/>
    <w:uiPriority w:val="0"/>
  </w:style>
  <w:style w:type="character" w:customStyle="1" w:styleId="215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TAC Char"/>
    <w:link w:val="20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17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8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9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0">
    <w:name w:val="Guidance Char"/>
    <w:link w:val="147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1">
    <w:name w:val="PL Char"/>
    <w:link w:val="18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2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2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5">
    <w:name w:val="TAN Char"/>
    <w:link w:val="17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4 Char"/>
    <w:link w:val="20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8">
    <w:name w:val="trans"/>
    <w:basedOn w:val="121"/>
    <w:qFormat/>
    <w:uiPriority w:val="0"/>
  </w:style>
  <w:style w:type="character" w:customStyle="1" w:styleId="229">
    <w:name w:val="B2 Char"/>
    <w:link w:val="16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2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 Char Char"/>
    <w:link w:val="13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4">
    <w:name w:val="TH Char"/>
    <w:link w:val="14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6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8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9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0">
    <w:name w:val="B1 Char1"/>
    <w:link w:val="15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2">
    <w:name w:val="NO Char"/>
    <w:link w:val="17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44">
    <w:name w:val="B3 Char2"/>
    <w:link w:val="17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5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6">
    <w:name w:val="apple-converted-space"/>
    <w:qFormat/>
    <w:uiPriority w:val="0"/>
  </w:style>
  <w:style w:type="paragraph" w:styleId="247">
    <w:name w:val="List Paragraph"/>
    <w:basedOn w:val="1"/>
    <w:qFormat/>
    <w:uiPriority w:val="34"/>
    <w:pPr>
      <w:widowControl w:val="0"/>
      <w:overflowPunct/>
      <w:autoSpaceDE/>
      <w:autoSpaceDN/>
      <w:adjustRightInd/>
      <w:spacing w:after="0" w:line="360" w:lineRule="auto"/>
      <w:ind w:firstLine="420" w:firstLineChars="200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Ma (ZTE)</cp:lastModifiedBy>
  <cp:lastPrinted>2010-03-26T07:51:00Z</cp:lastPrinted>
  <dcterms:modified xsi:type="dcterms:W3CDTF">2022-08-10T08:58:44Z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